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066AD4" w:rsidP="00BF2165">
      <w:pPr>
        <w:jc w:val="center"/>
        <w:rPr>
          <w:rFonts w:ascii="Arial" w:hAnsi="Arial" w:cs="Arial"/>
          <w:b/>
          <w:sz w:val="20"/>
          <w:szCs w:val="20"/>
        </w:rPr>
      </w:pPr>
      <w:r w:rsidRPr="006C5648">
        <w:rPr>
          <w:rFonts w:ascii="Arial" w:hAnsi="Arial" w:cs="Arial"/>
          <w:b/>
          <w:sz w:val="20"/>
          <w:szCs w:val="20"/>
        </w:rPr>
        <w:t xml:space="preserve">Diploma in </w:t>
      </w:r>
      <w:r w:rsidR="0095703D">
        <w:rPr>
          <w:rFonts w:ascii="Arial" w:hAnsi="Arial" w:cs="Arial"/>
          <w:b/>
          <w:sz w:val="20"/>
          <w:szCs w:val="20"/>
        </w:rPr>
        <w:t>Cooperative Banking</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Note Sorting Machines - Authentication and Fitness Sorting Parameters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6C5648"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 xml:space="preserve">Master Circular – </w:t>
            </w:r>
            <w:proofErr w:type="spellStart"/>
            <w:r>
              <w:rPr>
                <w:rFonts w:ascii="Calibri" w:hAnsi="Calibri" w:cs="Calibri"/>
                <w:color w:val="000000"/>
                <w:sz w:val="20"/>
                <w:szCs w:val="20"/>
              </w:rPr>
              <w:t>Deendayal</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Antyodaya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Yojana</w:t>
            </w:r>
            <w:proofErr w:type="spellEnd"/>
            <w:r>
              <w:rPr>
                <w:rFonts w:ascii="Calibri" w:hAnsi="Calibri" w:cs="Calibri"/>
                <w:color w:val="000000"/>
                <w:sz w:val="20"/>
                <w:szCs w:val="20"/>
              </w:rPr>
              <w:t xml:space="preserve"> - National Rural Livelihoods Mission (DAY-NRLM)</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Board approved Loan Policy – Management of Advances – UCBs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Master Circular - Credit facilities to Scheduled Castes (SCs) &amp; Scheduled Tribes (STs)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Master Circular on Credit Facilities to Minority Communities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Section 23 of the Banking Regulation Act, 1949 (As Applicable to Co-operative Societies) – Opening of new place of business by District Central Co-operative Banks (DCCBs)</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Bilateral Netting of Qualified Financial Contracts - Amendments to Prudential Guidelines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Outsourcing of Financial Services - Responsibilities of regulated entities employing Recovery Agents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Guidelines on Digital Lending</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Master Directions on Interest Rate on Deposits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Compliance Function and Role of Chief Compliance Officer (CCO)- Urban Co-operative Banks</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Reserve Bank of India (Financial Statements - Presentation and Disclosures) Directions, 2021 - Disclosure of Divergence in Asset Classification and Provisioning</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Claims Received from the National Credit Guarantee Trustee Company Ltd (NCGTC) - Classification for the Purpose of Maintenance of Cash Reserve Ratio (CRR)/Statutory Liquidity Ratio (SLR)</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Review of norms for classification of Urban Co-operative Banks (UCBs) as Financially Sound and Well Managed (FSWM)</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Revised Regulatory Framework - Categorization of Urban Co-operative Banks (UCBs) for Regulatory Purposes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Revised Regulatory Framework for Urban Co-operative Banks (UCBs) – Net Worth and Capital Adequacy</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6C5648" w:rsidRDefault="0095703D">
            <w:pPr>
              <w:spacing w:line="240" w:lineRule="auto"/>
              <w:jc w:val="both"/>
              <w:rPr>
                <w:rFonts w:ascii="Calibri" w:hAnsi="Calibri" w:cs="Calibri"/>
                <w:color w:val="000000"/>
                <w:sz w:val="20"/>
                <w:szCs w:val="20"/>
              </w:rPr>
            </w:pPr>
            <w:r>
              <w:rPr>
                <w:rFonts w:ascii="Calibri" w:hAnsi="Calibri" w:cs="Calibri"/>
                <w:color w:val="000000"/>
                <w:sz w:val="20"/>
                <w:szCs w:val="20"/>
              </w:rPr>
              <w:t>Data Format for Furnishing of Credit Information to Credit Information Companies and other Regulatory Measures</w:t>
            </w:r>
          </w:p>
        </w:tc>
      </w:tr>
      <w:tr w:rsidR="00066AD4" w:rsidRPr="006C5648" w:rsidTr="00BF2165">
        <w:tc>
          <w:tcPr>
            <w:tcW w:w="846" w:type="dxa"/>
            <w:tcBorders>
              <w:top w:val="single" w:sz="4" w:space="0" w:color="auto"/>
              <w:left w:val="single" w:sz="4" w:space="0" w:color="auto"/>
              <w:bottom w:val="single" w:sz="4" w:space="0" w:color="auto"/>
              <w:right w:val="single" w:sz="4" w:space="0" w:color="auto"/>
            </w:tcBorders>
          </w:tcPr>
          <w:p w:rsidR="00066AD4" w:rsidRPr="006C5648" w:rsidRDefault="00066AD4"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066AD4" w:rsidRPr="0095703D" w:rsidRDefault="0095703D">
            <w:pPr>
              <w:spacing w:line="240" w:lineRule="auto"/>
              <w:jc w:val="both"/>
              <w:rPr>
                <w:rFonts w:ascii="Calibri" w:hAnsi="Calibri" w:cs="Calibri"/>
                <w:color w:val="000000"/>
              </w:rPr>
            </w:pPr>
            <w:r>
              <w:rPr>
                <w:rFonts w:ascii="Calibri" w:hAnsi="Calibri" w:cs="Calibri"/>
                <w:color w:val="000000"/>
              </w:rPr>
              <w:t>Individual Housing loans – Revised limits under four-tiered regulatory framework</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rsidP="0095703D">
      <w:pPr>
        <w:spacing w:line="259" w:lineRule="auto"/>
        <w:rPr>
          <w:rFonts w:ascii="Arial" w:hAnsi="Arial" w:cs="Arial"/>
          <w:b/>
          <w:bCs/>
          <w:color w:val="000000"/>
          <w:sz w:val="20"/>
          <w:szCs w:val="20"/>
        </w:rPr>
      </w:pPr>
      <w:r>
        <w:rPr>
          <w:rFonts w:ascii="Arial" w:hAnsi="Arial" w:cs="Arial"/>
          <w:b/>
          <w:bCs/>
          <w:color w:val="000000"/>
          <w:sz w:val="20"/>
          <w:szCs w:val="20"/>
        </w:rPr>
        <w:lastRenderedPageBreak/>
        <w:t>Note Sorting Machines - Authentication and Fitness Sorting Parameters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RBI/2022-23/79</w:t>
      </w:r>
      <w:r>
        <w:rPr>
          <w:rFonts w:ascii="Arial" w:hAnsi="Arial" w:cs="Arial"/>
          <w:color w:val="000000"/>
          <w:sz w:val="20"/>
          <w:szCs w:val="20"/>
        </w:rPr>
        <w:br/>
        <w:t>DCM(NPD)No.S488/18.00.14/2022-23</w:t>
      </w:r>
    </w:p>
    <w:p w:rsidR="0095703D" w:rsidRDefault="0095703D" w:rsidP="0095703D">
      <w:pPr>
        <w:pStyle w:val="NormalWeb"/>
        <w:jc w:val="right"/>
        <w:rPr>
          <w:rFonts w:ascii="Arial" w:hAnsi="Arial" w:cs="Arial"/>
          <w:color w:val="000000"/>
          <w:sz w:val="20"/>
          <w:szCs w:val="20"/>
        </w:rPr>
      </w:pPr>
      <w:r>
        <w:rPr>
          <w:rFonts w:ascii="Arial" w:hAnsi="Arial" w:cs="Arial"/>
          <w:color w:val="000000"/>
          <w:sz w:val="20"/>
          <w:szCs w:val="20"/>
        </w:rPr>
        <w:t>July 1, 2022</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Chairman/ Managing Director/ Chief Executive Officers</w:t>
      </w:r>
      <w:r>
        <w:rPr>
          <w:rFonts w:ascii="Arial" w:hAnsi="Arial" w:cs="Arial"/>
          <w:color w:val="000000"/>
          <w:sz w:val="20"/>
          <w:szCs w:val="20"/>
        </w:rPr>
        <w:br/>
        <w:t>All Banks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Dear Sir/Madam</w:t>
      </w:r>
    </w:p>
    <w:p w:rsidR="0095703D" w:rsidRDefault="0095703D" w:rsidP="0095703D">
      <w:pPr>
        <w:pStyle w:val="head"/>
        <w:rPr>
          <w:rFonts w:ascii="Arial" w:hAnsi="Arial" w:cs="Arial"/>
          <w:b/>
          <w:bCs/>
          <w:color w:val="000000"/>
          <w:sz w:val="20"/>
          <w:szCs w:val="20"/>
        </w:rPr>
      </w:pPr>
      <w:r>
        <w:rPr>
          <w:rFonts w:ascii="Arial" w:hAnsi="Arial" w:cs="Arial"/>
          <w:b/>
          <w:bCs/>
          <w:color w:val="000000"/>
          <w:sz w:val="20"/>
          <w:szCs w:val="20"/>
        </w:rPr>
        <w:t>Note Sorting Machines - Authentication and Fitness Sorting Parameters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Please refer to our </w:t>
      </w:r>
      <w:hyperlink r:id="rId6" w:tgtFrame="_blank" w:history="1">
        <w:r>
          <w:rPr>
            <w:rStyle w:val="Hyperlink"/>
            <w:rFonts w:ascii="Arial" w:hAnsi="Arial" w:cs="Arial"/>
            <w:sz w:val="20"/>
            <w:szCs w:val="20"/>
          </w:rPr>
          <w:t>circular DCM(R&amp;D)No.G-26/18.00.14/2009-10 dated May 11, 2010</w:t>
        </w:r>
      </w:hyperlink>
      <w:r>
        <w:rPr>
          <w:rFonts w:ascii="Arial" w:hAnsi="Arial" w:cs="Arial"/>
          <w:color w:val="000000"/>
          <w:sz w:val="20"/>
          <w:szCs w:val="20"/>
        </w:rPr>
        <w:t> setting out ''Note Authentication and Fitness Sorting Parameters'' for the Note Sorting Machines installed in the banks.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2. In the backdrop of introduction of the new series banknotes, these parameters have been reviewed and a revised set of guidelines are </w:t>
      </w:r>
      <w:hyperlink r:id="rId7" w:anchor="GL" w:history="1">
        <w:r>
          <w:rPr>
            <w:rStyle w:val="Hyperlink"/>
            <w:rFonts w:ascii="Arial" w:hAnsi="Arial" w:cs="Arial"/>
            <w:sz w:val="20"/>
            <w:szCs w:val="20"/>
          </w:rPr>
          <w:t>enclosed</w:t>
        </w:r>
      </w:hyperlink>
      <w:r>
        <w:rPr>
          <w:rFonts w:ascii="Arial" w:hAnsi="Arial" w:cs="Arial"/>
          <w:color w:val="000000"/>
          <w:sz w:val="20"/>
          <w:szCs w:val="20"/>
        </w:rPr>
        <w:t> for implementation.</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3. The guidelines shall be implemented with immediate effect.</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Yours faithfully</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r>
        <w:t>More details can be referred to in the below link.</w:t>
      </w:r>
    </w:p>
    <w:p w:rsidR="0095703D" w:rsidRDefault="0095703D" w:rsidP="0095703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https://www.rbi.org.in/Scripts/NotificationUser.aspx?Id=12347&amp;Mode=0</w:t>
        </w:r>
      </w:hyperlink>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Default="0095703D">
      <w:pPr>
        <w:spacing w:line="259" w:lineRule="auto"/>
        <w:rPr>
          <w:rFonts w:ascii="Arial" w:hAnsi="Arial" w:cs="Arial"/>
          <w:sz w:val="20"/>
          <w:szCs w:val="20"/>
        </w:rPr>
      </w:pPr>
    </w:p>
    <w:p w:rsidR="0095703D" w:rsidRPr="0095703D" w:rsidRDefault="0095703D" w:rsidP="0095703D">
      <w:pPr>
        <w:spacing w:line="259" w:lineRule="auto"/>
        <w:rPr>
          <w:rFonts w:ascii="Arial" w:hAnsi="Arial" w:cs="Arial"/>
          <w:b/>
          <w:sz w:val="20"/>
          <w:szCs w:val="20"/>
        </w:rPr>
      </w:pPr>
      <w:r w:rsidRPr="0095703D">
        <w:rPr>
          <w:rFonts w:ascii="Arial" w:hAnsi="Arial" w:cs="Arial"/>
          <w:b/>
          <w:sz w:val="20"/>
          <w:szCs w:val="20"/>
        </w:rPr>
        <w:lastRenderedPageBreak/>
        <w:t xml:space="preserve">Master Circular – </w:t>
      </w:r>
      <w:proofErr w:type="spellStart"/>
      <w:r w:rsidRPr="0095703D">
        <w:rPr>
          <w:rFonts w:ascii="Arial" w:hAnsi="Arial" w:cs="Arial"/>
          <w:b/>
          <w:sz w:val="20"/>
          <w:szCs w:val="20"/>
        </w:rPr>
        <w:t>Deendayal</w:t>
      </w:r>
      <w:proofErr w:type="spellEnd"/>
      <w:r w:rsidRPr="0095703D">
        <w:rPr>
          <w:rFonts w:ascii="Arial" w:hAnsi="Arial" w:cs="Arial"/>
          <w:b/>
          <w:sz w:val="20"/>
          <w:szCs w:val="20"/>
        </w:rPr>
        <w:t xml:space="preserve"> </w:t>
      </w:r>
      <w:proofErr w:type="spellStart"/>
      <w:r w:rsidRPr="0095703D">
        <w:rPr>
          <w:rFonts w:ascii="Arial" w:hAnsi="Arial" w:cs="Arial"/>
          <w:b/>
          <w:sz w:val="20"/>
          <w:szCs w:val="20"/>
        </w:rPr>
        <w:t>Antyodaya</w:t>
      </w:r>
      <w:proofErr w:type="spellEnd"/>
      <w:r w:rsidRPr="0095703D">
        <w:rPr>
          <w:rFonts w:ascii="Arial" w:hAnsi="Arial" w:cs="Arial"/>
          <w:b/>
          <w:sz w:val="20"/>
          <w:szCs w:val="20"/>
        </w:rPr>
        <w:t xml:space="preserve"> </w:t>
      </w:r>
      <w:proofErr w:type="spellStart"/>
      <w:r w:rsidRPr="0095703D">
        <w:rPr>
          <w:rFonts w:ascii="Arial" w:hAnsi="Arial" w:cs="Arial"/>
          <w:b/>
          <w:sz w:val="20"/>
          <w:szCs w:val="20"/>
        </w:rPr>
        <w:t>Yojana</w:t>
      </w:r>
      <w:proofErr w:type="spellEnd"/>
      <w:r w:rsidRPr="0095703D">
        <w:rPr>
          <w:rFonts w:ascii="Arial" w:hAnsi="Arial" w:cs="Arial"/>
          <w:b/>
          <w:sz w:val="20"/>
          <w:szCs w:val="20"/>
        </w:rPr>
        <w:t xml:space="preserve"> - National Rural Livelihoods Mission (DAY-NRLM)</w:t>
      </w:r>
    </w:p>
    <w:p w:rsidR="0095703D" w:rsidRDefault="0095703D" w:rsidP="0095703D">
      <w:pPr>
        <w:spacing w:after="0" w:line="259" w:lineRule="auto"/>
        <w:rPr>
          <w:rFonts w:ascii="Arial" w:hAnsi="Arial" w:cs="Arial"/>
          <w:sz w:val="20"/>
          <w:szCs w:val="20"/>
        </w:rPr>
      </w:pPr>
      <w:r w:rsidRPr="0095703D">
        <w:rPr>
          <w:rFonts w:ascii="Arial" w:hAnsi="Arial" w:cs="Arial"/>
          <w:sz w:val="20"/>
          <w:szCs w:val="20"/>
        </w:rPr>
        <w:t>RBI/2022-23/92</w:t>
      </w:r>
    </w:p>
    <w:p w:rsidR="0095703D" w:rsidRPr="0095703D" w:rsidRDefault="0095703D" w:rsidP="0095703D">
      <w:pPr>
        <w:spacing w:after="0" w:line="259" w:lineRule="auto"/>
        <w:rPr>
          <w:rFonts w:ascii="Arial" w:hAnsi="Arial" w:cs="Arial"/>
          <w:sz w:val="20"/>
          <w:szCs w:val="20"/>
        </w:rPr>
      </w:pPr>
      <w:proofErr w:type="gramStart"/>
      <w:r>
        <w:rPr>
          <w:rFonts w:ascii="Arial" w:hAnsi="Arial" w:cs="Arial"/>
          <w:color w:val="000000"/>
          <w:sz w:val="20"/>
          <w:szCs w:val="20"/>
        </w:rPr>
        <w:t>FIDD.GSSD.CO.BC.No.</w:t>
      </w:r>
      <w:proofErr w:type="gramEnd"/>
      <w:r>
        <w:rPr>
          <w:rFonts w:ascii="Arial" w:hAnsi="Arial" w:cs="Arial"/>
          <w:color w:val="000000"/>
          <w:sz w:val="20"/>
          <w:szCs w:val="20"/>
        </w:rPr>
        <w:t>09/09.01.003/2022-23</w:t>
      </w:r>
    </w:p>
    <w:p w:rsidR="0095703D" w:rsidRDefault="0095703D" w:rsidP="0095703D">
      <w:pPr>
        <w:pStyle w:val="NormalWeb"/>
        <w:jc w:val="right"/>
        <w:rPr>
          <w:rFonts w:ascii="Arial" w:hAnsi="Arial" w:cs="Arial"/>
          <w:color w:val="000000"/>
          <w:sz w:val="20"/>
          <w:szCs w:val="20"/>
        </w:rPr>
      </w:pPr>
      <w:r>
        <w:rPr>
          <w:rFonts w:ascii="Arial" w:hAnsi="Arial" w:cs="Arial"/>
          <w:color w:val="000000"/>
          <w:sz w:val="20"/>
          <w:szCs w:val="20"/>
        </w:rPr>
        <w:t>July 20, 2022</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Madam/Dear Sir,</w:t>
      </w:r>
    </w:p>
    <w:p w:rsidR="0095703D" w:rsidRDefault="0095703D" w:rsidP="0095703D">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9" w:tgtFrame="_blank" w:history="1">
        <w:r>
          <w:rPr>
            <w:rStyle w:val="Hyperlink"/>
            <w:rFonts w:ascii="Arial" w:hAnsi="Arial" w:cs="Arial"/>
            <w:sz w:val="20"/>
            <w:szCs w:val="20"/>
          </w:rPr>
          <w:t>Master Circular FIDD.GSSD.CO.BC.No.04/09.01.01/2021-22 dated April 01, 2021</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2. The enclosed </w:t>
      </w:r>
      <w:hyperlink r:id="rId10"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Yours faithfully,</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r>
        <w:t>More details can be referred to in the below link.</w:t>
      </w:r>
    </w:p>
    <w:p w:rsidR="0095703D" w:rsidRDefault="0095703D" w:rsidP="0095703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1" w:history="1">
        <w:r w:rsidRPr="00735218">
          <w:rPr>
            <w:rStyle w:val="Hyperlink"/>
            <w:rFonts w:ascii="Arial" w:hAnsi="Arial" w:cs="Arial"/>
            <w:bCs/>
            <w:sz w:val="20"/>
            <w:szCs w:val="20"/>
          </w:rPr>
          <w:t>https://www.rbi.org.in/scripts/NotificationUser.aspx?Id=12360&amp;Mode=0</w:t>
        </w:r>
      </w:hyperlink>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RBI/2022-23/93</w:t>
      </w:r>
      <w:r>
        <w:rPr>
          <w:rFonts w:ascii="Arial" w:hAnsi="Arial" w:cs="Arial"/>
          <w:color w:val="000000"/>
          <w:sz w:val="20"/>
          <w:szCs w:val="20"/>
        </w:rPr>
        <w:br/>
        <w:t>DOR.CRE.REC.56/13.05.000/2022-23</w:t>
      </w:r>
    </w:p>
    <w:p w:rsidR="0095703D" w:rsidRDefault="0095703D" w:rsidP="0095703D">
      <w:pPr>
        <w:pStyle w:val="NormalWeb"/>
        <w:jc w:val="right"/>
        <w:rPr>
          <w:rFonts w:ascii="Arial" w:hAnsi="Arial" w:cs="Arial"/>
          <w:color w:val="000000"/>
          <w:sz w:val="20"/>
          <w:szCs w:val="20"/>
        </w:rPr>
      </w:pPr>
      <w:r>
        <w:rPr>
          <w:rFonts w:ascii="Arial" w:hAnsi="Arial" w:cs="Arial"/>
          <w:color w:val="000000"/>
          <w:sz w:val="20"/>
          <w:szCs w:val="20"/>
        </w:rPr>
        <w:t>July 26, 2022</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Madam / Dear Sir,</w:t>
      </w:r>
    </w:p>
    <w:p w:rsidR="0095703D" w:rsidRDefault="0095703D" w:rsidP="0095703D">
      <w:pPr>
        <w:pStyle w:val="head"/>
        <w:jc w:val="both"/>
        <w:rPr>
          <w:rFonts w:ascii="Arial" w:hAnsi="Arial" w:cs="Arial"/>
          <w:b/>
          <w:bCs/>
          <w:color w:val="000000"/>
          <w:sz w:val="20"/>
          <w:szCs w:val="20"/>
        </w:rPr>
      </w:pPr>
      <w:r>
        <w:rPr>
          <w:rFonts w:ascii="Arial" w:hAnsi="Arial" w:cs="Arial"/>
          <w:b/>
          <w:bCs/>
          <w:color w:val="000000"/>
          <w:sz w:val="20"/>
          <w:szCs w:val="20"/>
        </w:rPr>
        <w:t>Board approved Loan Policy – Management of Advances - UCBs</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Please refer to para 1 of the </w:t>
      </w:r>
      <w:hyperlink r:id="rId12" w:tgtFrame="_blank" w:history="1">
        <w:r>
          <w:rPr>
            <w:rStyle w:val="Hyperlink"/>
            <w:rFonts w:ascii="Arial" w:hAnsi="Arial" w:cs="Arial"/>
            <w:sz w:val="20"/>
            <w:szCs w:val="20"/>
          </w:rPr>
          <w:t>Master Circular DOR.CRE.REC.No.17/13.05.000/2022-23 dated April 8, 2022</w:t>
        </w:r>
      </w:hyperlink>
      <w:r>
        <w:rPr>
          <w:rFonts w:ascii="Arial" w:hAnsi="Arial" w:cs="Arial"/>
          <w:color w:val="000000"/>
          <w:sz w:val="20"/>
          <w:szCs w:val="20"/>
        </w:rPr>
        <w:t> on Management of Advances – UCBs in terms of which, UCBs are required to lay down, with the approval of their boards, transparent policies and guidelines for credit dispensation, in respect of each broad category of economic activity, keeping in view the credit exposure norms and various other guidelines issued by Reserve Bank from time to time.</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2. It has been observed in several UCBs that these policies not only lack comprehensive coverage, but also do not require a periodic review. In order to ensure that the loan policy reflects approved internal risk appetite and remains in alignment with the extant regulations, it is advised that the loan policy of the bank shall be reviewed by the Board at least once in a financial year.</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3. The above instructions will come into effect immediately.</w:t>
      </w:r>
    </w:p>
    <w:p w:rsidR="0095703D" w:rsidRDefault="0095703D" w:rsidP="0095703D">
      <w:pPr>
        <w:pStyle w:val="NormalWeb"/>
        <w:jc w:val="both"/>
        <w:rPr>
          <w:rFonts w:ascii="Arial" w:hAnsi="Arial" w:cs="Arial"/>
          <w:color w:val="000000"/>
          <w:sz w:val="20"/>
          <w:szCs w:val="20"/>
        </w:rPr>
      </w:pPr>
      <w:r>
        <w:rPr>
          <w:rFonts w:ascii="Arial" w:hAnsi="Arial" w:cs="Arial"/>
          <w:color w:val="000000"/>
          <w:sz w:val="20"/>
          <w:szCs w:val="20"/>
        </w:rPr>
        <w:t>Yours faithfully,</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r>
        <w:t>More details can be referred to in the below link.</w:t>
      </w:r>
    </w:p>
    <w:p w:rsidR="0095703D" w:rsidRDefault="0095703D" w:rsidP="0095703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3" w:history="1">
        <w:r w:rsidRPr="00735218">
          <w:rPr>
            <w:rStyle w:val="Hyperlink"/>
            <w:rFonts w:ascii="Arial" w:hAnsi="Arial" w:cs="Arial"/>
            <w:bCs/>
            <w:sz w:val="20"/>
            <w:szCs w:val="20"/>
          </w:rPr>
          <w:t>https://www.rbi.org.in/scripts/NotificationUser.aspx?Id=12361&amp;Mode=0</w:t>
        </w:r>
      </w:hyperlink>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sz w:val="20"/>
          <w:szCs w:val="20"/>
        </w:rPr>
      </w:pPr>
      <w:r>
        <w:rPr>
          <w:rFonts w:ascii="Arial" w:hAnsi="Arial" w:cs="Arial"/>
          <w:b/>
          <w:bCs/>
          <w:color w:val="000000"/>
          <w:sz w:val="20"/>
          <w:szCs w:val="20"/>
        </w:rPr>
        <w:t>Master Circular - Credit facilities to Scheduled Castes (SCs) &amp; Scheduled Tribes (STs)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RBI/2022-2023/97</w:t>
      </w:r>
      <w:r>
        <w:rPr>
          <w:rFonts w:ascii="Arial" w:hAnsi="Arial" w:cs="Arial"/>
          <w:color w:val="000000"/>
          <w:sz w:val="20"/>
          <w:szCs w:val="20"/>
        </w:rPr>
        <w:br/>
        <w:t>FIDD.CO.GSSD.BC.No.10/09.09.001/2022-23</w:t>
      </w:r>
    </w:p>
    <w:p w:rsidR="0095703D" w:rsidRDefault="0095703D" w:rsidP="0095703D">
      <w:pPr>
        <w:pStyle w:val="NormalWeb"/>
        <w:jc w:val="right"/>
        <w:rPr>
          <w:rFonts w:ascii="Arial" w:hAnsi="Arial" w:cs="Arial"/>
          <w:color w:val="000000"/>
          <w:sz w:val="20"/>
          <w:szCs w:val="20"/>
        </w:rPr>
      </w:pPr>
      <w:r>
        <w:rPr>
          <w:rFonts w:ascii="Arial" w:hAnsi="Arial" w:cs="Arial"/>
          <w:color w:val="000000"/>
          <w:sz w:val="20"/>
          <w:szCs w:val="20"/>
        </w:rPr>
        <w:t>August 1, 2022</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Chairman/ Managing Director / Chief Executive Officer</w:t>
      </w:r>
      <w:r>
        <w:rPr>
          <w:rFonts w:ascii="Arial" w:hAnsi="Arial" w:cs="Arial"/>
          <w:color w:val="000000"/>
          <w:sz w:val="20"/>
          <w:szCs w:val="20"/>
        </w:rPr>
        <w:br/>
        <w:t>All Scheduled Commercial Banks (including Small Finance Banks)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Madam/ Dear Sir,</w:t>
      </w:r>
    </w:p>
    <w:p w:rsidR="0095703D" w:rsidRDefault="0095703D" w:rsidP="0095703D">
      <w:pPr>
        <w:pStyle w:val="head"/>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14" w:anchor="MC1"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15" w:anchor="AP1" w:history="1">
        <w:r>
          <w:rPr>
            <w:rStyle w:val="Hyperlink"/>
            <w:rFonts w:ascii="Arial" w:hAnsi="Arial" w:cs="Arial"/>
            <w:sz w:val="20"/>
            <w:szCs w:val="20"/>
          </w:rPr>
          <w:t>Appendix</w:t>
        </w:r>
      </w:hyperlink>
      <w:r>
        <w:rPr>
          <w:rFonts w:ascii="Arial" w:hAnsi="Arial" w:cs="Arial"/>
          <w:color w:val="000000"/>
          <w:sz w:val="20"/>
          <w:szCs w:val="20"/>
        </w:rPr>
        <w:t>.</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Yours faithfully,</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r>
        <w:t>More details can be referred to in the below link.</w:t>
      </w:r>
    </w:p>
    <w:p w:rsidR="0095703D" w:rsidRDefault="0095703D" w:rsidP="0095703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6865D6">
          <w:rPr>
            <w:rStyle w:val="Hyperlink"/>
            <w:rFonts w:ascii="Arial" w:hAnsi="Arial" w:cs="Arial"/>
            <w:bCs/>
            <w:sz w:val="20"/>
            <w:szCs w:val="20"/>
          </w:rPr>
          <w:t>https://www.rbi.org.in/scripts/NotificationUser.aspx?Id=12365&amp;Mode=0</w:t>
        </w:r>
      </w:hyperlink>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pStyle w:val="NormalWeb"/>
        <w:rPr>
          <w:rFonts w:ascii="Arial" w:hAnsi="Arial" w:cs="Arial"/>
          <w:color w:val="000000"/>
          <w:sz w:val="20"/>
          <w:szCs w:val="20"/>
        </w:rPr>
      </w:pPr>
      <w:r>
        <w:rPr>
          <w:rFonts w:ascii="Arial" w:hAnsi="Arial" w:cs="Arial"/>
          <w:b/>
          <w:bCs/>
          <w:color w:val="000000"/>
          <w:sz w:val="20"/>
          <w:szCs w:val="20"/>
        </w:rPr>
        <w:t>Master Circular on Credit Facilities to Minority Communities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RBI/2022-23/99</w:t>
      </w:r>
      <w:r>
        <w:rPr>
          <w:rFonts w:ascii="Arial" w:hAnsi="Arial" w:cs="Arial"/>
          <w:color w:val="000000"/>
          <w:sz w:val="20"/>
          <w:szCs w:val="20"/>
        </w:rPr>
        <w:br/>
        <w:t>FIDD.GSSD.BC.No.11/09.10.001/2022-23</w:t>
      </w:r>
    </w:p>
    <w:p w:rsidR="0095703D" w:rsidRDefault="0095703D" w:rsidP="0095703D">
      <w:pPr>
        <w:pStyle w:val="NormalWeb"/>
        <w:jc w:val="right"/>
        <w:rPr>
          <w:rFonts w:ascii="Arial" w:hAnsi="Arial" w:cs="Arial"/>
          <w:color w:val="000000"/>
          <w:sz w:val="20"/>
          <w:szCs w:val="20"/>
        </w:rPr>
      </w:pPr>
      <w:r>
        <w:rPr>
          <w:rFonts w:ascii="Arial" w:hAnsi="Arial" w:cs="Arial"/>
          <w:color w:val="000000"/>
          <w:sz w:val="20"/>
          <w:szCs w:val="20"/>
        </w:rPr>
        <w:t>August 2, 2022</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Madam/ Dear Sir,</w:t>
      </w:r>
    </w:p>
    <w:p w:rsidR="0095703D" w:rsidRDefault="0095703D" w:rsidP="0095703D">
      <w:pPr>
        <w:pStyle w:val="head"/>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17"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18" w:anchor="APP" w:history="1">
        <w:r>
          <w:rPr>
            <w:rStyle w:val="Hyperlink"/>
            <w:rFonts w:ascii="Arial" w:hAnsi="Arial" w:cs="Arial"/>
            <w:sz w:val="20"/>
            <w:szCs w:val="20"/>
          </w:rPr>
          <w:t>Appendix</w:t>
        </w:r>
      </w:hyperlink>
      <w:r>
        <w:rPr>
          <w:rFonts w:ascii="Arial" w:hAnsi="Arial" w:cs="Arial"/>
          <w:color w:val="000000"/>
          <w:sz w:val="20"/>
          <w:szCs w:val="20"/>
        </w:rPr>
        <w:t>.</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Yours faithfully,</w:t>
      </w:r>
    </w:p>
    <w:p w:rsidR="0095703D" w:rsidRDefault="0095703D" w:rsidP="0095703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95703D" w:rsidRDefault="0095703D" w:rsidP="0095703D">
      <w:pPr>
        <w:spacing w:line="259" w:lineRule="auto"/>
        <w:rPr>
          <w:rFonts w:ascii="Arial" w:hAnsi="Arial" w:cs="Arial"/>
          <w:sz w:val="20"/>
          <w:szCs w:val="20"/>
        </w:rPr>
      </w:pPr>
    </w:p>
    <w:p w:rsidR="0095703D" w:rsidRDefault="0095703D" w:rsidP="0095703D">
      <w:pPr>
        <w:spacing w:line="259" w:lineRule="auto"/>
        <w:rPr>
          <w:rFonts w:ascii="Arial" w:hAnsi="Arial" w:cs="Arial"/>
          <w:sz w:val="20"/>
          <w:szCs w:val="20"/>
        </w:rPr>
      </w:pPr>
    </w:p>
    <w:p w:rsidR="0095703D" w:rsidRDefault="0095703D" w:rsidP="0095703D">
      <w:r>
        <w:t>More details can be referred to in the below link.</w:t>
      </w:r>
    </w:p>
    <w:p w:rsidR="0095703D" w:rsidRDefault="0095703D" w:rsidP="0095703D">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9" w:history="1">
        <w:r w:rsidRPr="006865D6">
          <w:rPr>
            <w:rStyle w:val="Hyperlink"/>
            <w:rFonts w:ascii="Arial" w:hAnsi="Arial" w:cs="Arial"/>
            <w:bCs/>
            <w:sz w:val="20"/>
            <w:szCs w:val="20"/>
          </w:rPr>
          <w:t>https://m.rbi.org.in/scripts/BS_ViewMasCirculardetails.aspx?id=12367</w:t>
        </w:r>
      </w:hyperlink>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bCs/>
          <w:color w:val="000000"/>
          <w:sz w:val="20"/>
          <w:szCs w:val="20"/>
        </w:rPr>
      </w:pPr>
    </w:p>
    <w:p w:rsidR="0095703D" w:rsidRDefault="0095703D"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FA763E">
      <w:pPr>
        <w:pStyle w:val="NormalWeb"/>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FA763E" w:rsidRDefault="00FA763E" w:rsidP="00FA763E">
      <w:pPr>
        <w:pStyle w:val="head"/>
        <w:rPr>
          <w:rFonts w:ascii="Arial" w:hAnsi="Arial" w:cs="Arial"/>
          <w:b/>
          <w:bCs/>
          <w:color w:val="000000"/>
          <w:sz w:val="20"/>
          <w:szCs w:val="20"/>
        </w:rPr>
      </w:pPr>
      <w:r>
        <w:rPr>
          <w:rFonts w:ascii="Arial" w:hAnsi="Arial" w:cs="Arial"/>
          <w:b/>
          <w:bCs/>
          <w:color w:val="000000"/>
          <w:sz w:val="20"/>
          <w:szCs w:val="20"/>
        </w:rPr>
        <w:t>EXECUTIVE DIRECTOR</w:t>
      </w:r>
    </w:p>
    <w:p w:rsidR="00FA763E" w:rsidRDefault="00FA763E" w:rsidP="00FA763E">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FA763E" w:rsidRDefault="00FA763E" w:rsidP="00FA763E">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FA763E" w:rsidRDefault="00FA763E" w:rsidP="00FA763E">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FA763E" w:rsidRDefault="00FA763E" w:rsidP="00FA763E">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FA763E" w:rsidRDefault="00FA763E" w:rsidP="00FA763E">
      <w:pPr>
        <w:pStyle w:val="NormalWeb"/>
        <w:jc w:val="right"/>
        <w:rPr>
          <w:rFonts w:ascii="Arial" w:hAnsi="Arial" w:cs="Arial"/>
          <w:color w:val="000000"/>
          <w:sz w:val="20"/>
          <w:szCs w:val="20"/>
        </w:rPr>
      </w:pPr>
      <w:r>
        <w:rPr>
          <w:rFonts w:ascii="Arial" w:hAnsi="Arial" w:cs="Arial"/>
          <w:color w:val="000000"/>
          <w:sz w:val="20"/>
          <w:szCs w:val="20"/>
        </w:rPr>
        <w:t>August 5, 2022</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20"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21" w:tgtFrame="_blank" w:history="1">
        <w:r>
          <w:rPr>
            <w:rStyle w:val="Hyperlink"/>
            <w:rFonts w:ascii="Arial" w:hAnsi="Arial" w:cs="Arial"/>
            <w:sz w:val="20"/>
            <w:szCs w:val="20"/>
          </w:rPr>
          <w:t>annexed</w:t>
        </w:r>
      </w:hyperlink>
      <w:r>
        <w:rPr>
          <w:rFonts w:ascii="Arial" w:hAnsi="Arial" w:cs="Arial"/>
          <w:color w:val="000000"/>
          <w:sz w:val="20"/>
          <w:szCs w:val="20"/>
        </w:rPr>
        <w:t>.</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(Anil Kumar Sharma)</w:t>
      </w:r>
    </w:p>
    <w:p w:rsidR="00FA763E" w:rsidRDefault="00FA763E" w:rsidP="00FA763E">
      <w:pPr>
        <w:pStyle w:val="NormalWeb"/>
        <w:rPr>
          <w:rFonts w:ascii="Arial" w:hAnsi="Arial" w:cs="Arial"/>
          <w:color w:val="000000"/>
          <w:sz w:val="20"/>
          <w:szCs w:val="20"/>
        </w:rPr>
      </w:pPr>
    </w:p>
    <w:p w:rsidR="00FA763E" w:rsidRDefault="00FA763E" w:rsidP="00FA763E">
      <w:pPr>
        <w:pStyle w:val="NormalWeb"/>
        <w:rPr>
          <w:rFonts w:ascii="Arial" w:hAnsi="Arial" w:cs="Arial"/>
          <w:color w:val="000000"/>
          <w:sz w:val="20"/>
          <w:szCs w:val="20"/>
        </w:rPr>
      </w:pPr>
    </w:p>
    <w:p w:rsidR="00FA763E" w:rsidRDefault="00FA763E" w:rsidP="00FA763E">
      <w:pPr>
        <w:pStyle w:val="NormalWeb"/>
        <w:rPr>
          <w:rFonts w:ascii="Arial" w:hAnsi="Arial" w:cs="Arial"/>
          <w:color w:val="000000"/>
          <w:sz w:val="20"/>
          <w:szCs w:val="20"/>
        </w:rPr>
      </w:pPr>
    </w:p>
    <w:p w:rsidR="00FA763E" w:rsidRDefault="00FA763E" w:rsidP="00FA763E">
      <w:r>
        <w:t>More details can be referred to in the below link.</w:t>
      </w:r>
    </w:p>
    <w:p w:rsidR="00FA763E" w:rsidRDefault="00FA763E" w:rsidP="00FA763E">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2" w:history="1">
        <w:r w:rsidRPr="006865D6">
          <w:rPr>
            <w:rStyle w:val="Hyperlink"/>
            <w:rFonts w:ascii="Arial" w:hAnsi="Arial" w:cs="Arial"/>
            <w:bCs/>
            <w:sz w:val="20"/>
            <w:szCs w:val="20"/>
          </w:rPr>
          <w:t>https://www.rbi.org.in/Scripts/NotificationUser.aspx?Id=12371&amp;Mode=0</w:t>
        </w:r>
      </w:hyperlink>
    </w:p>
    <w:p w:rsidR="00FA763E" w:rsidRDefault="00FA763E" w:rsidP="00FA763E">
      <w:pPr>
        <w:spacing w:line="259" w:lineRule="auto"/>
        <w:rPr>
          <w:rFonts w:ascii="Arial" w:hAnsi="Arial" w:cs="Arial"/>
          <w:bCs/>
          <w:color w:val="000000"/>
          <w:sz w:val="20"/>
          <w:szCs w:val="20"/>
        </w:rPr>
      </w:pPr>
    </w:p>
    <w:p w:rsidR="00FA763E" w:rsidRDefault="00FA763E" w:rsidP="00FA763E">
      <w:pPr>
        <w:spacing w:line="259" w:lineRule="auto"/>
        <w:rPr>
          <w:rFonts w:ascii="Arial" w:hAnsi="Arial" w:cs="Arial"/>
          <w:bCs/>
          <w:color w:val="000000"/>
          <w:sz w:val="20"/>
          <w:szCs w:val="20"/>
        </w:rPr>
      </w:pPr>
    </w:p>
    <w:p w:rsidR="00FA763E" w:rsidRDefault="00FA763E" w:rsidP="00FA763E">
      <w:pPr>
        <w:spacing w:line="259" w:lineRule="auto"/>
        <w:rPr>
          <w:rFonts w:ascii="Arial" w:hAnsi="Arial" w:cs="Arial"/>
          <w:bCs/>
          <w:color w:val="000000"/>
          <w:sz w:val="20"/>
          <w:szCs w:val="20"/>
        </w:rPr>
      </w:pPr>
    </w:p>
    <w:p w:rsidR="00FA763E" w:rsidRDefault="00FA763E" w:rsidP="00FA763E">
      <w:pPr>
        <w:spacing w:line="259" w:lineRule="auto"/>
        <w:rPr>
          <w:rFonts w:ascii="Arial" w:hAnsi="Arial" w:cs="Arial"/>
          <w:bCs/>
          <w:color w:val="000000"/>
          <w:sz w:val="20"/>
          <w:szCs w:val="20"/>
        </w:rPr>
      </w:pPr>
    </w:p>
    <w:p w:rsidR="00FA763E" w:rsidRDefault="00FA763E" w:rsidP="00FA763E">
      <w:pPr>
        <w:spacing w:line="259" w:lineRule="auto"/>
        <w:rPr>
          <w:rFonts w:ascii="Arial" w:hAnsi="Arial" w:cs="Arial"/>
          <w:bCs/>
          <w:color w:val="000000"/>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b/>
          <w:bCs/>
          <w:color w:val="000000"/>
          <w:sz w:val="20"/>
          <w:szCs w:val="20"/>
        </w:rPr>
      </w:pPr>
      <w:r>
        <w:rPr>
          <w:rFonts w:ascii="Arial" w:hAnsi="Arial" w:cs="Arial"/>
          <w:b/>
          <w:bCs/>
          <w:color w:val="000000"/>
          <w:sz w:val="20"/>
          <w:szCs w:val="20"/>
        </w:rPr>
        <w:t>Section 23 of the Banking Regulation Act, 1949 (As Applicable to Co-operative Societies) – Opening of new place of business by District Central Co-operative Banks (DCCBs)</w:t>
      </w:r>
    </w:p>
    <w:p w:rsidR="00FA763E" w:rsidRDefault="00FA763E" w:rsidP="00FA763E">
      <w:pPr>
        <w:pStyle w:val="NormalWeb"/>
        <w:jc w:val="both"/>
        <w:rPr>
          <w:rFonts w:ascii="Arial" w:hAnsi="Arial" w:cs="Arial"/>
          <w:color w:val="000000"/>
          <w:sz w:val="20"/>
          <w:szCs w:val="20"/>
        </w:rPr>
      </w:pPr>
      <w:r>
        <w:rPr>
          <w:rFonts w:ascii="Arial" w:hAnsi="Arial" w:cs="Arial"/>
          <w:color w:val="000000"/>
          <w:sz w:val="20"/>
          <w:szCs w:val="20"/>
        </w:rPr>
        <w:t>RBI/2022-23/106</w:t>
      </w:r>
      <w:r>
        <w:rPr>
          <w:rFonts w:ascii="Arial" w:hAnsi="Arial" w:cs="Arial"/>
          <w:color w:val="000000"/>
          <w:sz w:val="20"/>
          <w:szCs w:val="20"/>
        </w:rPr>
        <w:br/>
        <w:t>DOR.REG.No.63/19.51.052/2022-23</w:t>
      </w:r>
    </w:p>
    <w:p w:rsidR="00FA763E" w:rsidRDefault="00FA763E" w:rsidP="00FA763E">
      <w:pPr>
        <w:pStyle w:val="NormalWeb"/>
        <w:jc w:val="right"/>
        <w:rPr>
          <w:rFonts w:ascii="Arial" w:hAnsi="Arial" w:cs="Arial"/>
          <w:color w:val="000000"/>
          <w:sz w:val="20"/>
          <w:szCs w:val="20"/>
        </w:rPr>
      </w:pPr>
      <w:r>
        <w:rPr>
          <w:rFonts w:ascii="Arial" w:hAnsi="Arial" w:cs="Arial"/>
          <w:color w:val="000000"/>
          <w:sz w:val="20"/>
          <w:szCs w:val="20"/>
        </w:rPr>
        <w:t>August 11, 2022</w:t>
      </w:r>
    </w:p>
    <w:p w:rsidR="00FA763E" w:rsidRDefault="00FA763E" w:rsidP="00FA763E">
      <w:pPr>
        <w:pStyle w:val="NormalWeb"/>
        <w:jc w:val="both"/>
        <w:rPr>
          <w:rFonts w:ascii="Arial" w:hAnsi="Arial" w:cs="Arial"/>
          <w:color w:val="000000"/>
          <w:sz w:val="20"/>
          <w:szCs w:val="20"/>
        </w:rPr>
      </w:pPr>
      <w:r>
        <w:rPr>
          <w:rFonts w:ascii="Arial" w:hAnsi="Arial" w:cs="Arial"/>
          <w:color w:val="000000"/>
          <w:sz w:val="20"/>
          <w:szCs w:val="20"/>
        </w:rPr>
        <w:t>All District Central Co-operative Banks</w:t>
      </w:r>
    </w:p>
    <w:p w:rsidR="00FA763E" w:rsidRDefault="00FA763E" w:rsidP="00FA763E">
      <w:pPr>
        <w:pStyle w:val="NormalWeb"/>
        <w:jc w:val="both"/>
        <w:rPr>
          <w:rFonts w:ascii="Arial" w:hAnsi="Arial" w:cs="Arial"/>
          <w:color w:val="000000"/>
          <w:sz w:val="20"/>
          <w:szCs w:val="20"/>
        </w:rPr>
      </w:pPr>
      <w:r>
        <w:rPr>
          <w:rFonts w:ascii="Arial" w:hAnsi="Arial" w:cs="Arial"/>
          <w:color w:val="000000"/>
          <w:sz w:val="20"/>
          <w:szCs w:val="20"/>
        </w:rPr>
        <w:t>Madam/Sir,</w:t>
      </w:r>
    </w:p>
    <w:p w:rsidR="00FA763E" w:rsidRDefault="00FA763E" w:rsidP="00FA763E">
      <w:pPr>
        <w:pStyle w:val="head"/>
        <w:jc w:val="both"/>
        <w:rPr>
          <w:rFonts w:ascii="Arial" w:hAnsi="Arial" w:cs="Arial"/>
          <w:b/>
          <w:bCs/>
          <w:color w:val="000000"/>
          <w:sz w:val="20"/>
          <w:szCs w:val="20"/>
        </w:rPr>
      </w:pPr>
      <w:r>
        <w:rPr>
          <w:rFonts w:ascii="Arial" w:hAnsi="Arial" w:cs="Arial"/>
          <w:b/>
          <w:bCs/>
          <w:color w:val="000000"/>
          <w:sz w:val="20"/>
          <w:szCs w:val="20"/>
        </w:rPr>
        <w:t>Section 23 of the Banking Regulation Act, 1949 (As Applicable to Co-operative Societies) – Opening of new place of business by District Central Co-operative Banks (DCCBs)</w:t>
      </w:r>
    </w:p>
    <w:p w:rsidR="00FA763E" w:rsidRDefault="00FA763E" w:rsidP="00FA763E">
      <w:pPr>
        <w:pStyle w:val="NormalWeb"/>
        <w:jc w:val="both"/>
        <w:rPr>
          <w:rFonts w:ascii="Arial" w:hAnsi="Arial" w:cs="Arial"/>
          <w:color w:val="000000"/>
          <w:sz w:val="20"/>
          <w:szCs w:val="20"/>
        </w:rPr>
      </w:pPr>
      <w:r>
        <w:rPr>
          <w:rFonts w:ascii="Arial" w:hAnsi="Arial" w:cs="Arial"/>
          <w:color w:val="000000"/>
          <w:sz w:val="20"/>
          <w:szCs w:val="20"/>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it has been decided to issue guidelines with details of the criteria and procedure for submission of application by DCCBs for opening new place of business/installation of ATMs.</w:t>
      </w:r>
    </w:p>
    <w:p w:rsidR="00FA763E" w:rsidRDefault="00FA763E" w:rsidP="00FA763E">
      <w:pPr>
        <w:pStyle w:val="NormalWeb"/>
        <w:jc w:val="both"/>
        <w:rPr>
          <w:rFonts w:ascii="Arial" w:hAnsi="Arial" w:cs="Arial"/>
          <w:color w:val="000000"/>
          <w:sz w:val="20"/>
          <w:szCs w:val="20"/>
        </w:rPr>
      </w:pPr>
      <w:r>
        <w:rPr>
          <w:rFonts w:ascii="Arial" w:hAnsi="Arial" w:cs="Arial"/>
          <w:color w:val="000000"/>
          <w:sz w:val="20"/>
          <w:szCs w:val="20"/>
        </w:rPr>
        <w:t>2. The criteria for opening of branches/extension counters/specialized branches/regional offices/zonal offices/administrative offices/shifting of branches/upgradation of extension counters into full-fledged branches by a DCCB are as follows:</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A licensed DCCB should have completed at least three years of operation</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CRAR not being less than 9 per cent</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No default in maintenance of CRR/SLR during the preceding financial year</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Net NPA being less than 5 per cent</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The bank should have made a net profit during the preceding two financial years</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The bank should have a good track record of regulatory compliance and no monetary penalty should have been imposed on the bank for violation of Reserve Bank of India directives/guidelines during last two financial years</w:t>
      </w:r>
    </w:p>
    <w:p w:rsidR="00FA763E" w:rsidRDefault="00FA763E" w:rsidP="00FA763E">
      <w:pPr>
        <w:pStyle w:val="NormalWeb"/>
        <w:numPr>
          <w:ilvl w:val="0"/>
          <w:numId w:val="30"/>
        </w:numPr>
        <w:ind w:left="0"/>
        <w:jc w:val="both"/>
        <w:rPr>
          <w:rFonts w:ascii="Arial" w:hAnsi="Arial" w:cs="Arial"/>
          <w:color w:val="000000"/>
          <w:sz w:val="20"/>
          <w:szCs w:val="20"/>
        </w:rPr>
      </w:pPr>
      <w:r>
        <w:rPr>
          <w:rFonts w:ascii="Arial" w:hAnsi="Arial" w:cs="Arial"/>
          <w:color w:val="000000"/>
          <w:sz w:val="20"/>
          <w:szCs w:val="20"/>
        </w:rPr>
        <w:t>The bank should not have been placed under any specific direction issued by Reserve Bank of India during the preceding two financial years</w:t>
      </w:r>
    </w:p>
    <w:p w:rsidR="00FA763E" w:rsidRDefault="00FA763E" w:rsidP="00FA763E">
      <w:pPr>
        <w:pStyle w:val="NormalWeb"/>
        <w:rPr>
          <w:rFonts w:ascii="Arial" w:hAnsi="Arial" w:cs="Arial"/>
          <w:color w:val="000000"/>
          <w:sz w:val="20"/>
          <w:szCs w:val="20"/>
        </w:rPr>
      </w:pPr>
      <w:r>
        <w:rPr>
          <w:rFonts w:ascii="Arial" w:hAnsi="Arial" w:cs="Arial"/>
          <w:color w:val="000000"/>
          <w:sz w:val="20"/>
          <w:szCs w:val="20"/>
        </w:rPr>
        <w:t>The above parameters will be considered as they appear in the latest inspection report of NABARD.</w:t>
      </w:r>
    </w:p>
    <w:p w:rsidR="00FA763E" w:rsidRDefault="00FA763E" w:rsidP="00FA763E">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FA763E" w:rsidRDefault="00FA763E" w:rsidP="00FA763E">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95703D">
      <w:pPr>
        <w:spacing w:line="259" w:lineRule="auto"/>
        <w:rPr>
          <w:rFonts w:ascii="Arial" w:hAnsi="Arial" w:cs="Arial"/>
          <w:sz w:val="20"/>
          <w:szCs w:val="20"/>
        </w:rPr>
      </w:pPr>
    </w:p>
    <w:p w:rsidR="00FA763E" w:rsidRDefault="00FA763E" w:rsidP="00FA763E">
      <w:r>
        <w:t>More details can be referred to in the below link.</w:t>
      </w:r>
    </w:p>
    <w:p w:rsidR="00FA763E" w:rsidRDefault="00FA763E" w:rsidP="00FA763E">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735218">
          <w:rPr>
            <w:rStyle w:val="Hyperlink"/>
            <w:rFonts w:ascii="Arial" w:hAnsi="Arial" w:cs="Arial"/>
            <w:bCs/>
            <w:sz w:val="20"/>
            <w:szCs w:val="20"/>
          </w:rPr>
          <w:t>https://www.rbi.org.in/scripts/NotificationUser.aspx?Id=12375&amp;Mode=0</w:t>
        </w:r>
      </w:hyperlink>
    </w:p>
    <w:p w:rsidR="00FA763E" w:rsidRDefault="00FA763E"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b/>
          <w:bCs/>
          <w:color w:val="000000"/>
          <w:sz w:val="20"/>
          <w:szCs w:val="20"/>
        </w:rPr>
      </w:pPr>
      <w:r>
        <w:rPr>
          <w:rFonts w:ascii="Arial" w:hAnsi="Arial" w:cs="Arial"/>
          <w:b/>
          <w:bCs/>
          <w:color w:val="000000"/>
          <w:sz w:val="20"/>
          <w:szCs w:val="20"/>
        </w:rPr>
        <w:lastRenderedPageBreak/>
        <w:t>Bilateral Netting of Qualified Financial Contracts - Amendments to Prudential Guidelines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RBI/2022-23/107</w:t>
      </w:r>
      <w:r>
        <w:rPr>
          <w:rFonts w:ascii="Arial" w:hAnsi="Arial" w:cs="Arial"/>
          <w:color w:val="000000"/>
          <w:sz w:val="20"/>
          <w:szCs w:val="20"/>
        </w:rPr>
        <w:br/>
        <w:t>DOR.MRG.REC.64/00-00-005/2022-23</w:t>
      </w:r>
    </w:p>
    <w:p w:rsidR="00B54D58" w:rsidRDefault="00B54D58" w:rsidP="00B54D58">
      <w:pPr>
        <w:pStyle w:val="NormalWeb"/>
        <w:jc w:val="right"/>
        <w:rPr>
          <w:rFonts w:ascii="Arial" w:hAnsi="Arial" w:cs="Arial"/>
          <w:color w:val="000000"/>
          <w:sz w:val="20"/>
          <w:szCs w:val="20"/>
        </w:rPr>
      </w:pPr>
      <w:r>
        <w:rPr>
          <w:rFonts w:ascii="Arial" w:hAnsi="Arial" w:cs="Arial"/>
          <w:color w:val="000000"/>
          <w:sz w:val="20"/>
          <w:szCs w:val="20"/>
        </w:rPr>
        <w:t>August 11, 2022</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Dear Sir / Madam,</w:t>
      </w:r>
    </w:p>
    <w:p w:rsidR="00B54D58" w:rsidRDefault="00B54D58" w:rsidP="00B54D58">
      <w:pPr>
        <w:pStyle w:val="head"/>
        <w:jc w:val="both"/>
        <w:rPr>
          <w:rFonts w:ascii="Arial" w:hAnsi="Arial" w:cs="Arial"/>
          <w:b/>
          <w:bCs/>
          <w:color w:val="000000"/>
          <w:sz w:val="20"/>
          <w:szCs w:val="20"/>
        </w:rPr>
      </w:pPr>
      <w:r>
        <w:rPr>
          <w:rFonts w:ascii="Arial" w:hAnsi="Arial" w:cs="Arial"/>
          <w:b/>
          <w:bCs/>
          <w:color w:val="000000"/>
          <w:sz w:val="20"/>
          <w:szCs w:val="20"/>
        </w:rPr>
        <w:t>Bilateral Netting of Qualified Financial Contracts - Amendments to Prudential Guidelines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4" w:tgtFrame="_blank" w:history="1">
        <w:r>
          <w:rPr>
            <w:rStyle w:val="Hyperlink"/>
            <w:rFonts w:ascii="Arial" w:hAnsi="Arial" w:cs="Arial"/>
            <w:sz w:val="20"/>
            <w:szCs w:val="20"/>
          </w:rPr>
          <w:t>circular DOR.CAP.51/21.06.201/2020-21 dated March 30, 2021</w:t>
        </w:r>
      </w:hyperlink>
      <w:r>
        <w:rPr>
          <w:rFonts w:ascii="Arial" w:hAnsi="Arial" w:cs="Arial"/>
          <w:color w:val="000000"/>
          <w:sz w:val="20"/>
          <w:szCs w:val="20"/>
        </w:rPr>
        <w:t> and </w:t>
      </w:r>
      <w:hyperlink r:id="rId25" w:tgtFrame="_blank" w:history="1">
        <w:r>
          <w:rPr>
            <w:rStyle w:val="Hyperlink"/>
            <w:rFonts w:ascii="Arial" w:hAnsi="Arial" w:cs="Arial"/>
            <w:sz w:val="20"/>
            <w:szCs w:val="20"/>
          </w:rPr>
          <w:t>circular DOR.CAP.REC.No.97/21.06.201/2021-22 dated March 31, 2022</w:t>
        </w:r>
      </w:hyperlink>
      <w:r>
        <w:rPr>
          <w:rFonts w:ascii="Arial" w:hAnsi="Arial" w:cs="Arial"/>
          <w:color w:val="000000"/>
          <w:sz w:val="20"/>
          <w:szCs w:val="20"/>
        </w:rPr>
        <w:t> on the captioned subject.</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2. At present, while computing capital requirements for counterparty credit risk, the following exposures, wherever allowed to be undertaken, are exempted or capped:</w:t>
      </w:r>
    </w:p>
    <w:p w:rsidR="00B54D58" w:rsidRDefault="00B54D58" w:rsidP="00B54D5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foreign exchange (except gold) contracts which have an original maturity of 14 calendar days or less are excluded from capital requirements for counterparty credit risk.</w:t>
      </w:r>
    </w:p>
    <w:p w:rsidR="00B54D58" w:rsidRDefault="00B54D58" w:rsidP="00B54D5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are excluded from capital requirements for counterparty credit risk.</w:t>
      </w:r>
    </w:p>
    <w:p w:rsidR="00B54D58" w:rsidRDefault="00B54D58" w:rsidP="00B54D58">
      <w:pPr>
        <w:pStyle w:val="NormalWeb"/>
        <w:numPr>
          <w:ilvl w:val="0"/>
          <w:numId w:val="31"/>
        </w:numPr>
        <w:ind w:left="0"/>
        <w:jc w:val="both"/>
        <w:rPr>
          <w:rFonts w:ascii="Arial" w:hAnsi="Arial" w:cs="Arial"/>
          <w:color w:val="000000"/>
          <w:sz w:val="20"/>
          <w:szCs w:val="20"/>
        </w:rPr>
      </w:pPr>
      <w:r>
        <w:rPr>
          <w:rFonts w:ascii="Arial" w:hAnsi="Arial" w:cs="Arial"/>
          <w:color w:val="000000"/>
          <w:sz w:val="20"/>
          <w:szCs w:val="20"/>
        </w:rPr>
        <w:t>For Credit Default Swap transaction where bank is protection seller, the exposure is capped at the amount of premium unpaid by the protection buyer.</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3. We have received queries from regulated entities (REs) regarding the applicability of the above exemptions / caps under the Bilateral Netting framework. In this connection, it is clarified that:</w:t>
      </w:r>
    </w:p>
    <w:p w:rsidR="00B54D58" w:rsidRDefault="00B54D58" w:rsidP="00B54D5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the exemption for foreign exchange (except gold) contracts which have an original maturity of 14 calendar days or less shall be applicable to entities calculating the counterparty credit risk under Original Exposure Method without taking the benefit of bilateral netting. Accordingly, the exemption would be applicable only to Regional Rural Banks, Local Area Banks and Co-operative Banks, where the bank has not adopted the bilateral netting framework. For other entities, the exemption shall stand withdrawn.</w:t>
      </w:r>
    </w:p>
    <w:p w:rsidR="00B54D58" w:rsidRDefault="00B54D58" w:rsidP="00B54D5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‘sold options’, provided the entire premium / fee or any other form of income is received / realised, can be excluded only when such ‘sold options’ are outside the netting and margin agreements.</w:t>
      </w:r>
    </w:p>
    <w:p w:rsidR="00B54D58" w:rsidRDefault="00B54D58" w:rsidP="00B54D58">
      <w:pPr>
        <w:pStyle w:val="NormalWeb"/>
        <w:numPr>
          <w:ilvl w:val="0"/>
          <w:numId w:val="32"/>
        </w:numPr>
        <w:ind w:left="0"/>
        <w:jc w:val="both"/>
        <w:rPr>
          <w:rFonts w:ascii="Arial" w:hAnsi="Arial" w:cs="Arial"/>
          <w:color w:val="000000"/>
          <w:sz w:val="20"/>
          <w:szCs w:val="20"/>
        </w:rPr>
      </w:pPr>
      <w:r>
        <w:rPr>
          <w:rFonts w:ascii="Arial" w:hAnsi="Arial" w:cs="Arial"/>
          <w:color w:val="000000"/>
          <w:sz w:val="20"/>
          <w:szCs w:val="20"/>
        </w:rPr>
        <w:t>For Credit Default Swaps where the bank is the protection seller and that are outside netting and margin agreements, the exposure may be capped to the amount of premium unpaid. Banks have the option to remove such credit derivatives from their legal netting sets in order to apply the cap.</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B54D58">
      <w:r>
        <w:t>More details can be referred to in the below link.</w:t>
      </w:r>
    </w:p>
    <w:p w:rsidR="00B54D58" w:rsidRDefault="00B54D58" w:rsidP="00B54D5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735218">
          <w:rPr>
            <w:rStyle w:val="Hyperlink"/>
            <w:rFonts w:ascii="Arial" w:hAnsi="Arial" w:cs="Arial"/>
            <w:bCs/>
            <w:sz w:val="20"/>
            <w:szCs w:val="20"/>
          </w:rPr>
          <w:t>https://www.rbi.org.in/Scripts/NotificationUser.aspx?Id=12376&amp;Mode=0</w:t>
        </w:r>
      </w:hyperlink>
    </w:p>
    <w:p w:rsidR="00B54D58" w:rsidRDefault="00B54D58" w:rsidP="00B54D58">
      <w:pPr>
        <w:spacing w:line="259" w:lineRule="auto"/>
        <w:rPr>
          <w:rFonts w:ascii="Arial" w:hAnsi="Arial" w:cs="Arial"/>
          <w:sz w:val="20"/>
          <w:szCs w:val="20"/>
        </w:rPr>
      </w:pPr>
    </w:p>
    <w:p w:rsidR="00B54D58" w:rsidRDefault="00B54D58" w:rsidP="00B54D58">
      <w:pPr>
        <w:spacing w:line="259" w:lineRule="auto"/>
        <w:rPr>
          <w:rFonts w:ascii="Arial" w:hAnsi="Arial" w:cs="Arial"/>
          <w:sz w:val="20"/>
          <w:szCs w:val="20"/>
        </w:rPr>
      </w:pPr>
    </w:p>
    <w:p w:rsidR="00B54D58" w:rsidRDefault="00B54D58" w:rsidP="00B54D58">
      <w:pPr>
        <w:spacing w:line="259" w:lineRule="auto"/>
        <w:rPr>
          <w:rFonts w:ascii="Arial" w:hAnsi="Arial" w:cs="Arial"/>
          <w:b/>
          <w:bCs/>
          <w:color w:val="000000"/>
          <w:sz w:val="20"/>
          <w:szCs w:val="20"/>
        </w:rPr>
      </w:pPr>
      <w:r>
        <w:rPr>
          <w:rFonts w:ascii="Arial" w:hAnsi="Arial" w:cs="Arial"/>
          <w:b/>
          <w:bCs/>
          <w:color w:val="000000"/>
          <w:sz w:val="20"/>
          <w:szCs w:val="20"/>
        </w:rPr>
        <w:lastRenderedPageBreak/>
        <w:t>Outsourcing of Financial Services - Responsibilities of regulated entities employing Recovery Agents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RBI/2022-23/108</w:t>
      </w:r>
      <w:r>
        <w:rPr>
          <w:rFonts w:ascii="Arial" w:hAnsi="Arial" w:cs="Arial"/>
          <w:color w:val="000000"/>
          <w:sz w:val="20"/>
          <w:szCs w:val="20"/>
        </w:rPr>
        <w:br/>
        <w:t>DOR.ORG.REC.65/21.04.158/2022-23</w:t>
      </w:r>
    </w:p>
    <w:p w:rsidR="00B54D58" w:rsidRDefault="00B54D58" w:rsidP="00B54D58">
      <w:pPr>
        <w:pStyle w:val="NormalWeb"/>
        <w:jc w:val="right"/>
        <w:rPr>
          <w:rFonts w:ascii="Arial" w:hAnsi="Arial" w:cs="Arial"/>
          <w:color w:val="000000"/>
          <w:sz w:val="20"/>
          <w:szCs w:val="20"/>
        </w:rPr>
      </w:pPr>
      <w:r>
        <w:rPr>
          <w:rFonts w:ascii="Arial" w:hAnsi="Arial" w:cs="Arial"/>
          <w:color w:val="000000"/>
          <w:sz w:val="20"/>
          <w:szCs w:val="20"/>
        </w:rPr>
        <w:t>August 12, 2022</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Madam/ Sir,</w:t>
      </w:r>
    </w:p>
    <w:p w:rsidR="00B54D58" w:rsidRDefault="00B54D58" w:rsidP="00B54D58">
      <w:pPr>
        <w:pStyle w:val="head"/>
        <w:rPr>
          <w:rFonts w:ascii="Arial" w:hAnsi="Arial" w:cs="Arial"/>
          <w:b/>
          <w:bCs/>
          <w:color w:val="000000"/>
          <w:sz w:val="20"/>
          <w:szCs w:val="20"/>
        </w:rPr>
      </w:pPr>
      <w:r>
        <w:rPr>
          <w:rFonts w:ascii="Arial" w:hAnsi="Arial" w:cs="Arial"/>
          <w:b/>
          <w:bCs/>
          <w:color w:val="000000"/>
          <w:sz w:val="20"/>
          <w:szCs w:val="20"/>
        </w:rPr>
        <w:t>Outsourcing of Financial Services - Responsibilities of regulated entities employing Recovery Agents</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The Reserve Bank of India has from time to time advised regulated entities (REs) that the ultimate responsibility for their outsourced activities vests with them and they are, therefore, responsible for the actions of their service providers including Recovery Agents (hereafter referred to as ‘agents’).</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2. It has been observed that the agents employed by REs have been deviating from the extant instructions governing the outsourcing of financial services. In view of concerns arising from the activities of these agents, it is advised that the REs shall strictly ensure that they or their agents do not resort to intimidation or harassment of any kind, either verbal or physical, against any person in their debt collection efforts, including acts intended to humiliate publicly or intrude upon the privacy of the debtors' family members, referees and friends, sending inappropriate messages either on mobile or through social media, making threatening and/ or anonymous calls, persistently</w:t>
      </w:r>
      <w:hyperlink r:id="rId27" w:anchor="F1" w:history="1">
        <w:r>
          <w:rPr>
            <w:rStyle w:val="Hyperlink"/>
            <w:rFonts w:ascii="Arial" w:hAnsi="Arial" w:cs="Arial"/>
            <w:sz w:val="15"/>
            <w:szCs w:val="15"/>
            <w:vertAlign w:val="superscript"/>
          </w:rPr>
          <w:t>1</w:t>
        </w:r>
      </w:hyperlink>
      <w:r>
        <w:rPr>
          <w:rFonts w:ascii="Arial" w:hAnsi="Arial" w:cs="Arial"/>
          <w:color w:val="000000"/>
          <w:sz w:val="20"/>
          <w:szCs w:val="20"/>
        </w:rPr>
        <w:t> calling the borrower and/ or calling the borrower before 8:00 a.m. and after 7:00 p.m. for recovery of overdue loans, making false and misleading representations, etc.</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3. The instructions contained in para 2 above shall supplement and be read in conjunction with the existing guidelines/directions issued by the Reserve Bank of India, as amended from time to time, including those tabulated in </w:t>
      </w:r>
      <w:hyperlink r:id="rId28" w:anchor="AN" w:history="1">
        <w:r>
          <w:rPr>
            <w:rStyle w:val="Hyperlink"/>
            <w:rFonts w:ascii="Arial" w:hAnsi="Arial" w:cs="Arial"/>
            <w:sz w:val="20"/>
            <w:szCs w:val="20"/>
          </w:rPr>
          <w:t>Annex</w:t>
        </w:r>
      </w:hyperlink>
      <w:r>
        <w:rPr>
          <w:rFonts w:ascii="Arial" w:hAnsi="Arial" w:cs="Arial"/>
          <w:color w:val="000000"/>
          <w:sz w:val="20"/>
          <w:szCs w:val="20"/>
        </w:rPr>
        <w:t>.</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4. Any violation in this regard by REs will be viewed seriously.</w:t>
      </w:r>
    </w:p>
    <w:p w:rsidR="00B54D58" w:rsidRDefault="00B54D58" w:rsidP="00B54D58">
      <w:pPr>
        <w:pStyle w:val="head"/>
        <w:rPr>
          <w:rFonts w:ascii="Arial" w:hAnsi="Arial" w:cs="Arial"/>
          <w:b/>
          <w:bCs/>
          <w:color w:val="000000"/>
          <w:sz w:val="20"/>
          <w:szCs w:val="20"/>
        </w:rPr>
      </w:pPr>
      <w:r>
        <w:rPr>
          <w:rFonts w:ascii="Arial" w:hAnsi="Arial" w:cs="Arial"/>
          <w:b/>
          <w:bCs/>
          <w:color w:val="000000"/>
          <w:sz w:val="20"/>
          <w:szCs w:val="20"/>
        </w:rPr>
        <w:t>Applicability</w:t>
      </w:r>
    </w:p>
    <w:p w:rsidR="00B54D58" w:rsidRDefault="00B54D58" w:rsidP="00B54D58">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5. This circular shall apply to the following REs:</w:t>
      </w:r>
    </w:p>
    <w:p w:rsidR="00B54D58" w:rsidRDefault="00B54D58" w:rsidP="00B54D58">
      <w:pPr>
        <w:pStyle w:val="NormalWeb"/>
        <w:numPr>
          <w:ilvl w:val="0"/>
          <w:numId w:val="28"/>
        </w:numPr>
        <w:spacing w:before="0" w:beforeAutospacing="0"/>
        <w:ind w:left="0"/>
        <w:rPr>
          <w:rFonts w:ascii="Arial" w:hAnsi="Arial" w:cs="Arial"/>
          <w:color w:val="000000"/>
          <w:sz w:val="20"/>
          <w:szCs w:val="20"/>
        </w:rPr>
      </w:pPr>
      <w:r>
        <w:rPr>
          <w:rFonts w:ascii="Arial" w:hAnsi="Arial" w:cs="Arial"/>
          <w:color w:val="000000"/>
          <w:sz w:val="20"/>
          <w:szCs w:val="20"/>
        </w:rPr>
        <w:t>All Commercial Banks (including Local Area Banks, Regional Rural Banks, and Small Finance Banks) excluding Payments Banks;</w:t>
      </w:r>
    </w:p>
    <w:p w:rsidR="00B54D58" w:rsidRDefault="00B54D58" w:rsidP="00B54D58">
      <w:pPr>
        <w:pStyle w:val="NormalWeb"/>
        <w:numPr>
          <w:ilvl w:val="0"/>
          <w:numId w:val="28"/>
        </w:numPr>
        <w:ind w:left="0"/>
        <w:rPr>
          <w:rFonts w:ascii="Arial" w:hAnsi="Arial" w:cs="Arial"/>
          <w:color w:val="000000"/>
          <w:sz w:val="20"/>
          <w:szCs w:val="20"/>
        </w:rPr>
      </w:pPr>
      <w:r>
        <w:rPr>
          <w:rFonts w:ascii="Arial" w:hAnsi="Arial" w:cs="Arial"/>
          <w:color w:val="000000"/>
          <w:sz w:val="20"/>
          <w:szCs w:val="20"/>
        </w:rPr>
        <w:t xml:space="preserve">All All-India Financial Institutions (viz.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p>
    <w:p w:rsidR="00B54D58" w:rsidRDefault="00B54D58" w:rsidP="00B54D58">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Non-Banking Financial Companies including Housing Finance Companies;</w:t>
      </w:r>
    </w:p>
    <w:p w:rsidR="00B54D58" w:rsidRDefault="00B54D58" w:rsidP="00B54D58">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Primary (Urban) Co-operative Banks, State Co-operative Banks, and District Central Co-operative Banks; and</w:t>
      </w:r>
    </w:p>
    <w:p w:rsidR="00B54D58" w:rsidRDefault="00B54D58" w:rsidP="00B54D58">
      <w:pPr>
        <w:pStyle w:val="NormalWeb"/>
        <w:numPr>
          <w:ilvl w:val="0"/>
          <w:numId w:val="28"/>
        </w:numPr>
        <w:ind w:left="0"/>
        <w:rPr>
          <w:rFonts w:ascii="Arial" w:hAnsi="Arial" w:cs="Arial"/>
          <w:color w:val="000000"/>
          <w:sz w:val="20"/>
          <w:szCs w:val="20"/>
        </w:rPr>
      </w:pPr>
      <w:r>
        <w:rPr>
          <w:rFonts w:ascii="Arial" w:hAnsi="Arial" w:cs="Arial"/>
          <w:color w:val="000000"/>
          <w:sz w:val="20"/>
          <w:szCs w:val="20"/>
        </w:rPr>
        <w:t>All Asset Reconstruction Companies.</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6. This circular shall not apply to microfinance loans covered under </w:t>
      </w:r>
      <w:hyperlink r:id="rId29" w:tgtFrame="_blank" w:history="1">
        <w:r>
          <w:rPr>
            <w:rStyle w:val="Hyperlink"/>
            <w:rFonts w:ascii="Arial" w:hAnsi="Arial" w:cs="Arial"/>
            <w:sz w:val="20"/>
            <w:szCs w:val="20"/>
          </w:rPr>
          <w:t>‘Master Direction – Reserve Bank of India (Regulatory Framework for Microfinance Loans) Directions, 2022’, dated March 14, 2022</w:t>
        </w:r>
      </w:hyperlink>
      <w:r>
        <w:rPr>
          <w:rFonts w:ascii="Arial" w:hAnsi="Arial" w:cs="Arial"/>
          <w:color w:val="000000"/>
          <w:sz w:val="20"/>
          <w:szCs w:val="20"/>
        </w:rPr>
        <w:t>.</w:t>
      </w:r>
    </w:p>
    <w:p w:rsidR="00B54D58" w:rsidRDefault="00B54D58" w:rsidP="00B54D58">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B54D58" w:rsidRDefault="00B54D58" w:rsidP="00B54D58">
      <w:pPr>
        <w:pStyle w:val="NormalWeb"/>
        <w:spacing w:before="0" w:beforeAutospacing="0"/>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B54D58" w:rsidRDefault="00B54D58" w:rsidP="00B54D58">
      <w:pPr>
        <w:spacing w:before="240" w:after="0"/>
      </w:pPr>
    </w:p>
    <w:p w:rsidR="00B54D58" w:rsidRDefault="00B54D58" w:rsidP="00B54D58">
      <w:pPr>
        <w:spacing w:after="0"/>
      </w:pPr>
      <w:r>
        <w:t>More details can be referred to in the below link.</w:t>
      </w:r>
    </w:p>
    <w:p w:rsidR="00B54D58" w:rsidRDefault="00B54D58" w:rsidP="00B54D58">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0" w:anchor=":~:text=The%20Reserve%20Bank%20of%20India,to%20as%20'agents" w:history="1">
        <w:r w:rsidRPr="006865D6">
          <w:rPr>
            <w:rStyle w:val="Hyperlink"/>
            <w:rFonts w:ascii="Arial" w:hAnsi="Arial" w:cs="Arial"/>
            <w:bCs/>
            <w:sz w:val="20"/>
            <w:szCs w:val="20"/>
          </w:rPr>
          <w:t>https://rbi.org.in/scripts/FS_Notification.aspx?Id=12378&amp;fn=2&amp;Mode=0#:~:text=The%20Reserve%20Bank%20of%20India,to%20as%20'agents</w:t>
        </w:r>
      </w:hyperlink>
      <w:r w:rsidRPr="00DE6119">
        <w:rPr>
          <w:rFonts w:ascii="Arial" w:hAnsi="Arial" w:cs="Arial"/>
          <w:bCs/>
          <w:color w:val="000000"/>
          <w:sz w:val="20"/>
          <w:szCs w:val="20"/>
        </w:rPr>
        <w:t>').</w:t>
      </w:r>
    </w:p>
    <w:p w:rsidR="00B54D58" w:rsidRDefault="00B54D58" w:rsidP="00B54D58">
      <w:pPr>
        <w:pStyle w:val="NormalWeb"/>
        <w:rPr>
          <w:rFonts w:ascii="Arial" w:hAnsi="Arial" w:cs="Arial"/>
          <w:b/>
          <w:bCs/>
          <w:color w:val="000000"/>
          <w:sz w:val="20"/>
          <w:szCs w:val="20"/>
        </w:rPr>
      </w:pPr>
      <w:r>
        <w:rPr>
          <w:rFonts w:ascii="Arial" w:hAnsi="Arial" w:cs="Arial"/>
          <w:b/>
          <w:bCs/>
          <w:color w:val="000000"/>
          <w:sz w:val="20"/>
          <w:szCs w:val="20"/>
        </w:rPr>
        <w:lastRenderedPageBreak/>
        <w:t>Guidelines on Digital Lending</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RBI/2022-23/111</w:t>
      </w:r>
      <w:r>
        <w:rPr>
          <w:rFonts w:ascii="Arial" w:hAnsi="Arial" w:cs="Arial"/>
          <w:color w:val="000000"/>
          <w:sz w:val="20"/>
          <w:szCs w:val="20"/>
        </w:rPr>
        <w:br/>
        <w:t>DOR.CRE.REC.66/21.07.001/2022-23</w:t>
      </w:r>
    </w:p>
    <w:p w:rsidR="00B54D58" w:rsidRDefault="00B54D58" w:rsidP="00B54D58">
      <w:pPr>
        <w:pStyle w:val="NormalWeb"/>
        <w:jc w:val="right"/>
        <w:rPr>
          <w:rFonts w:ascii="Arial" w:hAnsi="Arial" w:cs="Arial"/>
          <w:color w:val="000000"/>
          <w:sz w:val="20"/>
          <w:szCs w:val="20"/>
        </w:rPr>
      </w:pPr>
      <w:r>
        <w:rPr>
          <w:rFonts w:ascii="Arial" w:hAnsi="Arial" w:cs="Arial"/>
          <w:color w:val="000000"/>
          <w:sz w:val="20"/>
          <w:szCs w:val="20"/>
        </w:rPr>
        <w:t>September 02, 2022</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All Commercial Banks,</w:t>
      </w:r>
      <w:r>
        <w:rPr>
          <w:rFonts w:ascii="Arial" w:hAnsi="Arial" w:cs="Arial"/>
          <w:color w:val="000000"/>
          <w:sz w:val="20"/>
          <w:szCs w:val="20"/>
        </w:rPr>
        <w:br/>
        <w:t>Primary (Urban) Co-operative Banks, State Co-operative Banks,</w:t>
      </w:r>
      <w:r>
        <w:rPr>
          <w:rFonts w:ascii="Arial" w:hAnsi="Arial" w:cs="Arial"/>
          <w:color w:val="000000"/>
          <w:sz w:val="20"/>
          <w:szCs w:val="20"/>
        </w:rPr>
        <w:br/>
        <w:t>District Central Co-operative Banks; and</w:t>
      </w:r>
      <w:r>
        <w:rPr>
          <w:rFonts w:ascii="Arial" w:hAnsi="Arial" w:cs="Arial"/>
          <w:color w:val="000000"/>
          <w:sz w:val="20"/>
          <w:szCs w:val="20"/>
        </w:rPr>
        <w:br/>
        <w:t>Non-Banking Financial Companies (including Housing Finance Companies)</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Madam/ Sir,</w:t>
      </w:r>
    </w:p>
    <w:p w:rsidR="00B54D58" w:rsidRDefault="00B54D58" w:rsidP="00B54D58">
      <w:pPr>
        <w:pStyle w:val="head"/>
        <w:jc w:val="center"/>
        <w:rPr>
          <w:rFonts w:ascii="Arial" w:hAnsi="Arial" w:cs="Arial"/>
          <w:b/>
          <w:bCs/>
          <w:color w:val="000000"/>
          <w:sz w:val="20"/>
          <w:szCs w:val="20"/>
        </w:rPr>
      </w:pPr>
      <w:r>
        <w:rPr>
          <w:rFonts w:ascii="Arial" w:hAnsi="Arial" w:cs="Arial"/>
          <w:b/>
          <w:bCs/>
          <w:color w:val="000000"/>
          <w:sz w:val="20"/>
          <w:szCs w:val="20"/>
        </w:rPr>
        <w:t>Guidelines on Digital Lending</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A reference is invited to para 7 of the </w:t>
      </w:r>
      <w:hyperlink r:id="rId31"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Detailed guidelines on recommendations of the Working Group accepted for immediate implementation are attached as </w:t>
      </w:r>
      <w:hyperlink r:id="rId32" w:anchor="AN1" w:history="1">
        <w:r>
          <w:rPr>
            <w:rStyle w:val="Hyperlink"/>
            <w:rFonts w:ascii="Arial" w:hAnsi="Arial" w:cs="Arial"/>
            <w:sz w:val="20"/>
            <w:szCs w:val="20"/>
          </w:rPr>
          <w:t>Annex I</w:t>
        </w:r>
      </w:hyperlink>
      <w:r>
        <w:rPr>
          <w:rFonts w:ascii="Arial" w:hAnsi="Arial" w:cs="Arial"/>
          <w:color w:val="000000"/>
          <w:sz w:val="20"/>
          <w:szCs w:val="20"/>
        </w:rPr>
        <w:t> to this circular.</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2. It is reiterated that outsourcing arrangements entered by Regulated Entities (REs) with a Lending Service Provider (LSP)/ Digital Lending App (DLA) does not diminish the REs’ obligations and they shall continue to conform to the extant guidelines on outsourcing</w:t>
      </w:r>
      <w:hyperlink r:id="rId33" w:anchor="F1" w:history="1">
        <w:r>
          <w:rPr>
            <w:rStyle w:val="Hyperlink"/>
            <w:rFonts w:ascii="Arial" w:hAnsi="Arial" w:cs="Arial"/>
            <w:sz w:val="15"/>
            <w:szCs w:val="15"/>
            <w:vertAlign w:val="superscript"/>
          </w:rPr>
          <w:t>1</w:t>
        </w:r>
      </w:hyperlink>
      <w:r>
        <w:rPr>
          <w:rFonts w:ascii="Arial" w:hAnsi="Arial" w:cs="Arial"/>
          <w:color w:val="000000"/>
          <w:sz w:val="20"/>
          <w:szCs w:val="20"/>
        </w:rPr>
        <w:t>. The REs are advised to ensure that the LSPs engaged by them and the DLAs (either of the RE or of the LSP engaged by the RE) comply with the guidelines contained in this circular.</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 xml:space="preserve">3. It is further advised that the instructions contained in this circular shall be applicable to the ‘existing customers availing fresh loans’ and to ‘new customers getting </w:t>
      </w:r>
      <w:proofErr w:type="spellStart"/>
      <w:r>
        <w:rPr>
          <w:rFonts w:ascii="Arial" w:hAnsi="Arial" w:cs="Arial"/>
          <w:color w:val="000000"/>
          <w:sz w:val="20"/>
          <w:szCs w:val="20"/>
        </w:rPr>
        <w:t>onboarded</w:t>
      </w:r>
      <w:proofErr w:type="spellEnd"/>
      <w:r>
        <w:rPr>
          <w:rFonts w:ascii="Arial" w:hAnsi="Arial" w:cs="Arial"/>
          <w:color w:val="000000"/>
          <w:sz w:val="20"/>
          <w:szCs w:val="20"/>
        </w:rPr>
        <w:t>’, from the date of this circular. However, in order to ensure a smooth transition, REs shall be given time till November 30, 2022, to put in place adequate systems and processes to ensure that ‘existing digital loans’ (sanctioned as on the date of the circular) are also in compliance with these guidelines in both letter and spirit.</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sections 30A and 32 of the National Housing Bank Act, 1987, section 6 of the Factoring Regulation Act, 2011 and section 11 of the Credit Information Companies (Regulation) Act, 2005.</w:t>
      </w:r>
    </w:p>
    <w:p w:rsidR="00B54D58" w:rsidRDefault="00B54D58" w:rsidP="00B54D58">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B54D58" w:rsidRDefault="00B54D58" w:rsidP="00B54D58">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B54D58" w:rsidRDefault="00B54D58" w:rsidP="00B54D58">
      <w:pPr>
        <w:spacing w:before="240" w:after="240"/>
        <w:rPr>
          <w:rFonts w:ascii="Times New Roman" w:hAnsi="Times New Roman" w:cs="Times New Roman"/>
          <w:sz w:val="24"/>
          <w:szCs w:val="24"/>
        </w:rPr>
      </w:pPr>
    </w:p>
    <w:p w:rsidR="00B54D58" w:rsidRDefault="00B54D58" w:rsidP="00B54D58">
      <w:pPr>
        <w:spacing w:before="240" w:after="240"/>
        <w:rPr>
          <w:rFonts w:ascii="Times New Roman" w:hAnsi="Times New Roman" w:cs="Times New Roman"/>
          <w:sz w:val="24"/>
          <w:szCs w:val="24"/>
        </w:rPr>
      </w:pPr>
    </w:p>
    <w:p w:rsidR="00B54D58" w:rsidRDefault="00B54D58" w:rsidP="00B54D58">
      <w:r>
        <w:t>More details can be referred to in the below link.</w:t>
      </w:r>
    </w:p>
    <w:p w:rsidR="00B54D58" w:rsidRDefault="00B54D58" w:rsidP="00B54D58">
      <w:pPr>
        <w:spacing w:line="259" w:lineRule="auto"/>
        <w:rPr>
          <w:rFonts w:ascii="Arial" w:hAnsi="Arial" w:cs="Arial"/>
          <w:sz w:val="20"/>
          <w:szCs w:val="20"/>
        </w:rPr>
      </w:pPr>
      <w:r>
        <w:rPr>
          <w:rFonts w:ascii="Arial" w:hAnsi="Arial" w:cs="Arial"/>
          <w:bCs/>
          <w:color w:val="000000"/>
          <w:sz w:val="20"/>
          <w:szCs w:val="20"/>
        </w:rPr>
        <w:t xml:space="preserve">Reference Link: </w:t>
      </w:r>
      <w:hyperlink r:id="rId34" w:history="1">
        <w:r w:rsidRPr="006865D6">
          <w:rPr>
            <w:rStyle w:val="Hyperlink"/>
            <w:rFonts w:ascii="Arial" w:hAnsi="Arial" w:cs="Arial"/>
            <w:bCs/>
            <w:sz w:val="20"/>
            <w:szCs w:val="20"/>
          </w:rPr>
          <w:t>https://rbi.org.in/Scripts/BS_CircularIndexDisplay.aspx?Id=12382</w:t>
        </w:r>
      </w:hyperlink>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B54D58">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B54D58" w:rsidRDefault="00B54D58" w:rsidP="00B54D58">
      <w:pPr>
        <w:pStyle w:val="NormalWeb"/>
        <w:jc w:val="right"/>
        <w:rPr>
          <w:rFonts w:ascii="Arial" w:hAnsi="Arial" w:cs="Arial"/>
          <w:color w:val="000000"/>
          <w:sz w:val="20"/>
          <w:szCs w:val="20"/>
        </w:rPr>
      </w:pPr>
      <w:r>
        <w:rPr>
          <w:rFonts w:ascii="Arial" w:hAnsi="Arial" w:cs="Arial"/>
          <w:color w:val="000000"/>
          <w:sz w:val="20"/>
          <w:szCs w:val="20"/>
        </w:rPr>
        <w:t>September 16, 2022</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Sir / Madam,</w:t>
      </w:r>
    </w:p>
    <w:p w:rsidR="00B54D58" w:rsidRDefault="00B54D58" w:rsidP="00B54D58">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35"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36"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37"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38"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39" w:anchor="A_N" w:history="1">
        <w:r>
          <w:rPr>
            <w:rStyle w:val="Hyperlink"/>
            <w:rFonts w:ascii="Arial" w:hAnsi="Arial" w:cs="Arial"/>
            <w:sz w:val="20"/>
            <w:szCs w:val="20"/>
          </w:rPr>
          <w:t>Annex</w:t>
        </w:r>
      </w:hyperlink>
      <w:r>
        <w:rPr>
          <w:rFonts w:ascii="Arial" w:hAnsi="Arial" w:cs="Arial"/>
          <w:color w:val="000000"/>
          <w:sz w:val="20"/>
          <w:szCs w:val="20"/>
        </w:rPr>
        <w:t>.</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Yours faithfully,</w:t>
      </w:r>
    </w:p>
    <w:p w:rsidR="00B54D58" w:rsidRDefault="00B54D58" w:rsidP="00B54D58">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B54D58" w:rsidRDefault="00B54D58" w:rsidP="00B54D58"/>
    <w:p w:rsidR="00B54D58" w:rsidRDefault="00B54D58" w:rsidP="00B54D58"/>
    <w:p w:rsidR="00B54D58" w:rsidRDefault="00B54D58" w:rsidP="00B54D58">
      <w:r>
        <w:t>More details can be referred to in the below link.</w:t>
      </w:r>
    </w:p>
    <w:p w:rsidR="00B54D58" w:rsidRDefault="00B54D58" w:rsidP="00B54D5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0" w:history="1">
        <w:r w:rsidRPr="006865D6">
          <w:rPr>
            <w:rStyle w:val="Hyperlink"/>
            <w:rFonts w:ascii="Arial" w:hAnsi="Arial" w:cs="Arial"/>
            <w:bCs/>
            <w:sz w:val="20"/>
            <w:szCs w:val="20"/>
          </w:rPr>
          <w:t>https://rbi.org.in/Scripts/NotificationUser.aspx?Id=12388&amp;Mode=0</w:t>
        </w:r>
      </w:hyperlink>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sz w:val="20"/>
          <w:szCs w:val="20"/>
        </w:rPr>
      </w:pPr>
    </w:p>
    <w:p w:rsidR="00B54D58" w:rsidRDefault="00B54D58" w:rsidP="00FA763E">
      <w:pPr>
        <w:spacing w:line="259" w:lineRule="auto"/>
        <w:rPr>
          <w:rFonts w:ascii="Arial" w:hAnsi="Arial" w:cs="Arial"/>
          <w:b/>
          <w:bCs/>
          <w:color w:val="000000"/>
          <w:sz w:val="20"/>
          <w:szCs w:val="20"/>
        </w:rPr>
      </w:pPr>
      <w:r>
        <w:rPr>
          <w:rFonts w:ascii="Arial" w:hAnsi="Arial" w:cs="Arial"/>
          <w:b/>
          <w:bCs/>
          <w:color w:val="000000"/>
          <w:sz w:val="20"/>
          <w:szCs w:val="20"/>
        </w:rPr>
        <w:lastRenderedPageBreak/>
        <w:t>Compliance Function and Role of Chief Compliance Officer (CCO)- Urban Co-operative Banks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RBI/2022-2023/118</w:t>
      </w:r>
      <w:r>
        <w:rPr>
          <w:rFonts w:ascii="Arial" w:hAnsi="Arial" w:cs="Arial"/>
          <w:color w:val="000000"/>
          <w:sz w:val="20"/>
          <w:szCs w:val="20"/>
        </w:rPr>
        <w:br/>
      </w:r>
      <w:proofErr w:type="spellStart"/>
      <w:r>
        <w:rPr>
          <w:rFonts w:ascii="Arial" w:hAnsi="Arial" w:cs="Arial"/>
          <w:color w:val="000000"/>
          <w:sz w:val="20"/>
          <w:szCs w:val="20"/>
        </w:rPr>
        <w:t>Ref.No.DoS.CO.PPG</w:t>
      </w:r>
      <w:proofErr w:type="spellEnd"/>
      <w:r>
        <w:rPr>
          <w:rFonts w:ascii="Arial" w:hAnsi="Arial" w:cs="Arial"/>
          <w:color w:val="000000"/>
          <w:sz w:val="20"/>
          <w:szCs w:val="20"/>
        </w:rPr>
        <w:t>/SEC.04/11.01.005/2022-23</w:t>
      </w:r>
    </w:p>
    <w:p w:rsidR="00B54D58" w:rsidRDefault="00B54D58" w:rsidP="00B54D58">
      <w:pPr>
        <w:pStyle w:val="NormalWeb"/>
        <w:jc w:val="right"/>
        <w:rPr>
          <w:rFonts w:ascii="Arial" w:hAnsi="Arial" w:cs="Arial"/>
          <w:color w:val="000000"/>
          <w:sz w:val="20"/>
          <w:szCs w:val="20"/>
        </w:rPr>
      </w:pPr>
      <w:r>
        <w:rPr>
          <w:rFonts w:ascii="Arial" w:hAnsi="Arial" w:cs="Arial"/>
          <w:color w:val="000000"/>
          <w:sz w:val="20"/>
          <w:szCs w:val="20"/>
        </w:rPr>
        <w:t>September 19, 2022</w:t>
      </w:r>
    </w:p>
    <w:p w:rsidR="00B54D58" w:rsidRDefault="00B54D58" w:rsidP="001513F3">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Primary (Urban) Co-operative Banks (UCBs)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Madam / Dear Sir,</w:t>
      </w:r>
    </w:p>
    <w:p w:rsidR="00B54D58" w:rsidRDefault="00B54D58" w:rsidP="00B54D58">
      <w:pPr>
        <w:pStyle w:val="head"/>
        <w:jc w:val="center"/>
        <w:rPr>
          <w:rFonts w:ascii="Arial" w:hAnsi="Arial" w:cs="Arial"/>
          <w:b/>
          <w:bCs/>
          <w:color w:val="000000"/>
          <w:sz w:val="20"/>
          <w:szCs w:val="20"/>
        </w:rPr>
      </w:pPr>
      <w:r>
        <w:rPr>
          <w:rFonts w:ascii="Arial" w:hAnsi="Arial" w:cs="Arial"/>
          <w:b/>
          <w:bCs/>
          <w:color w:val="000000"/>
          <w:sz w:val="20"/>
          <w:szCs w:val="20"/>
          <w:u w:val="single"/>
        </w:rPr>
        <w:t>Compliance Function and Role of Chief Compliance Officer (CCO)-</w:t>
      </w:r>
      <w:r>
        <w:rPr>
          <w:rFonts w:ascii="Arial" w:hAnsi="Arial" w:cs="Arial"/>
          <w:b/>
          <w:bCs/>
          <w:color w:val="000000"/>
          <w:sz w:val="20"/>
          <w:szCs w:val="20"/>
          <w:u w:val="single"/>
        </w:rPr>
        <w:br/>
        <w:t>Urban Co-operative Banks</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As part of the overall structure for Corporate Governance, the Compliance Function serves a critical role. Therefore, it has been decided to introduce certain principles, standards and procedures for Compliance Function in UCBs, keeping in view the principles of proportionality. Accordingly, this Circular shall be applicable to all UCBs under Tier 3 and Tier 4 categories</w:t>
      </w:r>
      <w:hyperlink r:id="rId41" w:anchor="FN1" w:history="1">
        <w:r>
          <w:rPr>
            <w:rStyle w:val="Hyperlink"/>
            <w:rFonts w:ascii="Arial" w:hAnsi="Arial" w:cs="Arial"/>
            <w:sz w:val="15"/>
            <w:szCs w:val="15"/>
            <w:vertAlign w:val="superscript"/>
          </w:rPr>
          <w:t>1</w:t>
        </w:r>
      </w:hyperlink>
      <w:r>
        <w:rPr>
          <w:rFonts w:ascii="Arial" w:hAnsi="Arial" w:cs="Arial"/>
          <w:color w:val="000000"/>
          <w:sz w:val="20"/>
          <w:szCs w:val="20"/>
        </w:rPr>
        <w:t> except UCBs under All Inclusive Directions (AID)</w:t>
      </w:r>
      <w:hyperlink r:id="rId42" w:anchor="FN2" w:history="1">
        <w:r>
          <w:rPr>
            <w:rStyle w:val="Hyperlink"/>
            <w:rFonts w:ascii="Arial" w:hAnsi="Arial" w:cs="Arial"/>
            <w:sz w:val="15"/>
            <w:szCs w:val="15"/>
            <w:vertAlign w:val="superscript"/>
          </w:rPr>
          <w:t>2</w:t>
        </w:r>
      </w:hyperlink>
      <w:r>
        <w:rPr>
          <w:rFonts w:ascii="Arial" w:hAnsi="Arial" w:cs="Arial"/>
          <w:color w:val="000000"/>
          <w:sz w:val="20"/>
          <w:szCs w:val="20"/>
        </w:rPr>
        <w:t>. UCBs under Tier 1 and Tier 2 categories shall continue to be governed under the existing guidelines</w:t>
      </w:r>
      <w:hyperlink r:id="rId43" w:anchor="FN3" w:history="1">
        <w:r>
          <w:rPr>
            <w:rStyle w:val="Hyperlink"/>
            <w:rFonts w:ascii="Arial" w:hAnsi="Arial" w:cs="Arial"/>
            <w:sz w:val="15"/>
            <w:szCs w:val="15"/>
            <w:vertAlign w:val="superscript"/>
          </w:rPr>
          <w:t>3</w:t>
        </w:r>
      </w:hyperlink>
      <w:r>
        <w:rPr>
          <w:rFonts w:ascii="Arial" w:hAnsi="Arial" w:cs="Arial"/>
          <w:color w:val="000000"/>
          <w:sz w:val="20"/>
          <w:szCs w:val="20"/>
        </w:rPr>
        <w:t>.</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2. The UCBs under Tier 4 category shall put in place a Board-approved policy and a Compliance Function, including the appointment of a Chief Compliance Officer (CCO), based on the Framework given in the </w:t>
      </w:r>
      <w:hyperlink r:id="rId44" w:anchor="AN" w:history="1">
        <w:r>
          <w:rPr>
            <w:rStyle w:val="Hyperlink"/>
            <w:rFonts w:ascii="Arial" w:hAnsi="Arial" w:cs="Arial"/>
            <w:sz w:val="20"/>
            <w:szCs w:val="20"/>
          </w:rPr>
          <w:t>Annex</w:t>
        </w:r>
      </w:hyperlink>
      <w:r>
        <w:rPr>
          <w:rFonts w:ascii="Arial" w:hAnsi="Arial" w:cs="Arial"/>
          <w:color w:val="000000"/>
          <w:sz w:val="20"/>
          <w:szCs w:val="20"/>
        </w:rPr>
        <w:t>, latest by April 1, 2023. The UCBs under Tier 3 category shall implement the same latest by October 1, 2023.</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3. This Circular shall be placed in the immediate next meeting of the Board of Directors for information and devising an implementation strategy, under the Board’s supervision, in a time-bound manner.</w:t>
      </w:r>
    </w:p>
    <w:p w:rsidR="00B54D58" w:rsidRDefault="00B54D58" w:rsidP="00B54D58">
      <w:pPr>
        <w:pStyle w:val="NormalWeb"/>
        <w:jc w:val="both"/>
        <w:rPr>
          <w:rFonts w:ascii="Arial" w:hAnsi="Arial" w:cs="Arial"/>
          <w:color w:val="000000"/>
          <w:sz w:val="20"/>
          <w:szCs w:val="20"/>
        </w:rPr>
      </w:pPr>
      <w:r>
        <w:rPr>
          <w:rFonts w:ascii="Arial" w:hAnsi="Arial" w:cs="Arial"/>
          <w:color w:val="000000"/>
          <w:sz w:val="20"/>
          <w:szCs w:val="20"/>
        </w:rPr>
        <w:t>Yours faithfully,</w:t>
      </w:r>
    </w:p>
    <w:p w:rsidR="00B54D58" w:rsidRDefault="00B54D58" w:rsidP="001513F3">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Tarun</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w:t>
      </w:r>
    </w:p>
    <w:p w:rsidR="00B54D58" w:rsidRDefault="00B54D58" w:rsidP="00FA763E">
      <w:pPr>
        <w:spacing w:line="259" w:lineRule="auto"/>
        <w:rPr>
          <w:rFonts w:ascii="Arial" w:hAnsi="Arial" w:cs="Arial"/>
          <w:sz w:val="20"/>
          <w:szCs w:val="20"/>
        </w:rPr>
      </w:pPr>
    </w:p>
    <w:p w:rsidR="001513F3" w:rsidRDefault="001513F3" w:rsidP="00FA763E">
      <w:pPr>
        <w:spacing w:line="259" w:lineRule="auto"/>
        <w:rPr>
          <w:rFonts w:ascii="Arial" w:hAnsi="Arial" w:cs="Arial"/>
          <w:sz w:val="20"/>
          <w:szCs w:val="20"/>
        </w:rPr>
      </w:pPr>
    </w:p>
    <w:p w:rsidR="001513F3" w:rsidRDefault="001513F3" w:rsidP="00FA763E">
      <w:pPr>
        <w:spacing w:line="259" w:lineRule="auto"/>
        <w:rPr>
          <w:rFonts w:ascii="Arial" w:hAnsi="Arial" w:cs="Arial"/>
          <w:sz w:val="20"/>
          <w:szCs w:val="20"/>
        </w:rPr>
      </w:pPr>
    </w:p>
    <w:p w:rsidR="001513F3" w:rsidRDefault="001513F3" w:rsidP="001513F3">
      <w:r>
        <w:t>More details can be referred to in the below link.</w:t>
      </w:r>
    </w:p>
    <w:p w:rsidR="001513F3" w:rsidRDefault="001513F3" w:rsidP="001513F3">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735218">
          <w:rPr>
            <w:rStyle w:val="Hyperlink"/>
            <w:rFonts w:ascii="Arial" w:hAnsi="Arial" w:cs="Arial"/>
            <w:bCs/>
            <w:sz w:val="20"/>
            <w:szCs w:val="20"/>
          </w:rPr>
          <w:t>https://rbi.org.in/Scripts/NotificationUser.aspx?Id=12389&amp;Mode=0</w:t>
        </w:r>
      </w:hyperlink>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Cs/>
          <w:color w:val="000000"/>
          <w:sz w:val="20"/>
          <w:szCs w:val="20"/>
        </w:rPr>
      </w:pPr>
    </w:p>
    <w:p w:rsidR="001513F3" w:rsidRDefault="001513F3" w:rsidP="001513F3">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(Financial Statements - Presentation and Disclosures) Directions, 2021 - Disclosure of Divergence in Asset Classification and Provisioning</w:t>
      </w:r>
    </w:p>
    <w:p w:rsidR="001513F3" w:rsidRDefault="001513F3" w:rsidP="001513F3">
      <w:pPr>
        <w:pStyle w:val="NormalWeb"/>
        <w:jc w:val="both"/>
        <w:rPr>
          <w:rFonts w:ascii="Arial" w:hAnsi="Arial" w:cs="Arial"/>
          <w:color w:val="000000"/>
          <w:sz w:val="20"/>
          <w:szCs w:val="20"/>
        </w:rPr>
      </w:pPr>
      <w:r>
        <w:rPr>
          <w:rFonts w:ascii="Arial" w:hAnsi="Arial" w:cs="Arial"/>
          <w:color w:val="000000"/>
          <w:sz w:val="20"/>
          <w:szCs w:val="20"/>
        </w:rPr>
        <w:t>RBI/2022-23/130</w:t>
      </w:r>
      <w:r>
        <w:rPr>
          <w:rFonts w:ascii="Arial" w:hAnsi="Arial" w:cs="Arial"/>
          <w:color w:val="000000"/>
          <w:sz w:val="20"/>
          <w:szCs w:val="20"/>
        </w:rPr>
        <w:br/>
        <w:t>DOR.ACC.REC.No.74/21.04.018/2022-23</w:t>
      </w:r>
    </w:p>
    <w:p w:rsidR="001513F3" w:rsidRDefault="001513F3" w:rsidP="001513F3">
      <w:pPr>
        <w:pStyle w:val="NormalWeb"/>
        <w:jc w:val="right"/>
        <w:rPr>
          <w:rFonts w:ascii="Arial" w:hAnsi="Arial" w:cs="Arial"/>
          <w:color w:val="000000"/>
          <w:sz w:val="20"/>
          <w:szCs w:val="20"/>
        </w:rPr>
      </w:pPr>
      <w:r>
        <w:rPr>
          <w:rFonts w:ascii="Arial" w:hAnsi="Arial" w:cs="Arial"/>
          <w:color w:val="000000"/>
          <w:sz w:val="20"/>
          <w:szCs w:val="20"/>
        </w:rPr>
        <w:t>October 11, 2022</w:t>
      </w:r>
    </w:p>
    <w:p w:rsidR="001513F3" w:rsidRDefault="001513F3" w:rsidP="001513F3">
      <w:pPr>
        <w:pStyle w:val="NormalWeb"/>
        <w:jc w:val="both"/>
        <w:rPr>
          <w:rFonts w:ascii="Arial" w:hAnsi="Arial" w:cs="Arial"/>
          <w:color w:val="000000"/>
          <w:sz w:val="20"/>
          <w:szCs w:val="20"/>
        </w:rPr>
      </w:pPr>
      <w:r>
        <w:rPr>
          <w:rFonts w:ascii="Arial" w:hAnsi="Arial" w:cs="Arial"/>
          <w:color w:val="000000"/>
          <w:sz w:val="20"/>
          <w:szCs w:val="20"/>
        </w:rPr>
        <w:t>Madam / Dear Sir,</w:t>
      </w:r>
    </w:p>
    <w:p w:rsidR="001513F3" w:rsidRDefault="001513F3" w:rsidP="001513F3">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 of Divergence in Asset Classification and Provisioning</w:t>
      </w:r>
    </w:p>
    <w:p w:rsidR="001513F3" w:rsidRDefault="001513F3" w:rsidP="001513F3">
      <w:pPr>
        <w:pStyle w:val="NormalWeb"/>
        <w:jc w:val="both"/>
        <w:rPr>
          <w:rFonts w:ascii="Arial" w:hAnsi="Arial" w:cs="Arial"/>
          <w:color w:val="000000"/>
          <w:sz w:val="20"/>
          <w:szCs w:val="20"/>
        </w:rPr>
      </w:pPr>
      <w:r>
        <w:rPr>
          <w:rFonts w:ascii="Arial" w:hAnsi="Arial" w:cs="Arial"/>
          <w:color w:val="000000"/>
          <w:sz w:val="20"/>
          <w:szCs w:val="20"/>
        </w:rPr>
        <w:t>In terms of paragraph C.4(e) of Annexure III to the </w:t>
      </w:r>
      <w:hyperlink r:id="rId46"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commercial banks (excluding Regional Rural Banks (RRBs)) are required to disclose details of divergence in asset classification and provisioning where such divergence assessed by the Reserve Bank of India (RBI) exceeds certain specified thresholds. In order to strengthen compliance with income recognition, asset classification and provisioning norms, it has now been decided to introduce similar disclosure requirements for Primary (Urban) Co-operative Banks (UCBs) and revise the specified thresholds for commercial banks.</w:t>
      </w:r>
    </w:p>
    <w:p w:rsidR="001513F3" w:rsidRDefault="001513F3" w:rsidP="001513F3">
      <w:pPr>
        <w:pStyle w:val="NormalWeb"/>
        <w:spacing w:after="0" w:afterAutospacing="0"/>
        <w:jc w:val="both"/>
        <w:rPr>
          <w:rFonts w:ascii="Arial" w:hAnsi="Arial" w:cs="Arial"/>
          <w:color w:val="000000"/>
          <w:sz w:val="20"/>
          <w:szCs w:val="20"/>
        </w:rPr>
      </w:pPr>
      <w:r>
        <w:rPr>
          <w:rFonts w:ascii="Arial" w:hAnsi="Arial" w:cs="Arial"/>
          <w:color w:val="000000"/>
          <w:sz w:val="20"/>
          <w:szCs w:val="20"/>
        </w:rPr>
        <w:t>2. Accordingly, for the financial statements for the year ending March 31, 2023, banks shall make suitable disclosures in the manner specified in paragraph C.4(e) of Annex III to the afore-mentioned Directions, if either or both of the following conditions are satisfied:</w:t>
      </w:r>
    </w:p>
    <w:p w:rsidR="001513F3" w:rsidRDefault="001513F3" w:rsidP="001513F3">
      <w:pPr>
        <w:pStyle w:val="NormalWeb"/>
        <w:numPr>
          <w:ilvl w:val="0"/>
          <w:numId w:val="33"/>
        </w:numPr>
        <w:ind w:left="0"/>
        <w:jc w:val="both"/>
        <w:rPr>
          <w:rFonts w:ascii="Arial" w:hAnsi="Arial" w:cs="Arial"/>
          <w:color w:val="000000"/>
          <w:sz w:val="20"/>
          <w:szCs w:val="20"/>
        </w:rPr>
      </w:pPr>
      <w:r>
        <w:rPr>
          <w:rFonts w:ascii="Arial" w:hAnsi="Arial" w:cs="Arial"/>
          <w:color w:val="000000"/>
          <w:sz w:val="20"/>
          <w:szCs w:val="20"/>
        </w:rPr>
        <w:t>the additional provisioning for non-performing assets (NPAs) assessed by the RBI exceeds 10 per cent of the reported profit before provisions and contingencies</w:t>
      </w:r>
      <w:hyperlink r:id="rId47" w:anchor="F1" w:history="1">
        <w:r>
          <w:rPr>
            <w:rStyle w:val="Hyperlink"/>
            <w:rFonts w:ascii="Arial" w:hAnsi="Arial" w:cs="Arial"/>
            <w:sz w:val="15"/>
            <w:szCs w:val="15"/>
            <w:vertAlign w:val="superscript"/>
          </w:rPr>
          <w:t>1</w:t>
        </w:r>
      </w:hyperlink>
      <w:r>
        <w:rPr>
          <w:rFonts w:ascii="Arial" w:hAnsi="Arial" w:cs="Arial"/>
          <w:color w:val="000000"/>
          <w:sz w:val="20"/>
          <w:szCs w:val="20"/>
        </w:rPr>
        <w:t> for the reference period; and</w:t>
      </w:r>
    </w:p>
    <w:p w:rsidR="001513F3" w:rsidRDefault="001513F3" w:rsidP="001513F3">
      <w:pPr>
        <w:pStyle w:val="NormalWeb"/>
        <w:numPr>
          <w:ilvl w:val="0"/>
          <w:numId w:val="33"/>
        </w:numPr>
        <w:spacing w:before="0" w:beforeAutospacing="0" w:after="0" w:afterAutospacing="0"/>
        <w:ind w:left="0"/>
        <w:jc w:val="both"/>
        <w:rPr>
          <w:rFonts w:ascii="Arial" w:hAnsi="Arial" w:cs="Arial"/>
          <w:color w:val="000000"/>
          <w:sz w:val="20"/>
          <w:szCs w:val="20"/>
        </w:rPr>
      </w:pPr>
      <w:r>
        <w:rPr>
          <w:rFonts w:ascii="Arial" w:hAnsi="Arial" w:cs="Arial"/>
          <w:color w:val="000000"/>
          <w:sz w:val="20"/>
          <w:szCs w:val="20"/>
        </w:rPr>
        <w:t>the additional Gross NPAs identified by the RBI exceed 10 per cent of the reported</w:t>
      </w:r>
      <w:hyperlink r:id="rId48" w:anchor="F2" w:history="1">
        <w:r>
          <w:rPr>
            <w:rStyle w:val="Hyperlink"/>
            <w:rFonts w:ascii="Arial" w:hAnsi="Arial" w:cs="Arial"/>
            <w:sz w:val="15"/>
            <w:szCs w:val="15"/>
            <w:vertAlign w:val="superscript"/>
          </w:rPr>
          <w:t>2</w:t>
        </w:r>
      </w:hyperlink>
      <w:r>
        <w:rPr>
          <w:rFonts w:ascii="Arial" w:hAnsi="Arial" w:cs="Arial"/>
          <w:color w:val="000000"/>
          <w:sz w:val="20"/>
          <w:szCs w:val="20"/>
        </w:rPr>
        <w:t> incremental Gross NPAs for the reference period.</w:t>
      </w:r>
    </w:p>
    <w:p w:rsidR="001513F3" w:rsidRDefault="001513F3" w:rsidP="001513F3">
      <w:pPr>
        <w:pStyle w:val="NormalWeb"/>
        <w:spacing w:before="0" w:beforeAutospacing="0"/>
        <w:jc w:val="both"/>
        <w:rPr>
          <w:rFonts w:ascii="Arial" w:hAnsi="Arial" w:cs="Arial"/>
          <w:color w:val="000000"/>
          <w:sz w:val="20"/>
          <w:szCs w:val="20"/>
        </w:rPr>
      </w:pPr>
      <w:r>
        <w:rPr>
          <w:rFonts w:ascii="Arial" w:hAnsi="Arial" w:cs="Arial"/>
          <w:color w:val="000000"/>
          <w:sz w:val="20"/>
          <w:szCs w:val="20"/>
        </w:rPr>
        <w:t>Provided further that in the case of UCBs the threshold for reported incremental Gross NPAs specified in paragraph 2(b) above shall be 15 per cent, which shall be reduced progressively in a phased manner, after review.</w:t>
      </w:r>
    </w:p>
    <w:p w:rsidR="001513F3" w:rsidRDefault="001513F3" w:rsidP="001513F3">
      <w:pPr>
        <w:pStyle w:val="NormalWeb"/>
        <w:jc w:val="both"/>
        <w:rPr>
          <w:rFonts w:ascii="Arial" w:hAnsi="Arial" w:cs="Arial"/>
          <w:color w:val="000000"/>
          <w:sz w:val="20"/>
          <w:szCs w:val="20"/>
        </w:rPr>
      </w:pPr>
      <w:r>
        <w:rPr>
          <w:rFonts w:ascii="Arial" w:hAnsi="Arial" w:cs="Arial"/>
          <w:color w:val="000000"/>
          <w:sz w:val="20"/>
          <w:szCs w:val="20"/>
        </w:rPr>
        <w:t>3. The thresholds specified in paragraph (2) above shall be revised for disclosures in annual financial statements for the year ending March 31, 2024, and onwards, as under:</w:t>
      </w: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
        <w:gridCol w:w="4682"/>
        <w:gridCol w:w="2694"/>
        <w:gridCol w:w="1859"/>
      </w:tblGrid>
      <w:tr w:rsidR="001513F3" w:rsidTr="001513F3">
        <w:trPr>
          <w:trHeight w:val="437"/>
          <w:jc w:val="center"/>
        </w:trPr>
        <w:tc>
          <w:tcPr>
            <w:tcW w:w="286" w:type="pct"/>
            <w:tcMar>
              <w:top w:w="0" w:type="dxa"/>
              <w:left w:w="45" w:type="dxa"/>
              <w:bottom w:w="0" w:type="dxa"/>
              <w:right w:w="45" w:type="dxa"/>
            </w:tcMar>
            <w:vAlign w:val="center"/>
            <w:hideMark/>
          </w:tcPr>
          <w:p w:rsidR="001513F3" w:rsidRDefault="001513F3">
            <w:pPr>
              <w:jc w:val="center"/>
              <w:rPr>
                <w:rFonts w:ascii="Arial" w:hAnsi="Arial" w:cs="Arial"/>
                <w:b/>
                <w:bCs/>
                <w:color w:val="000000"/>
                <w:sz w:val="20"/>
                <w:szCs w:val="20"/>
              </w:rPr>
            </w:pPr>
            <w:r>
              <w:rPr>
                <w:rFonts w:ascii="Arial" w:hAnsi="Arial" w:cs="Arial"/>
                <w:b/>
                <w:bCs/>
                <w:color w:val="000000"/>
                <w:sz w:val="20"/>
                <w:szCs w:val="20"/>
              </w:rPr>
              <w:t>Ref.</w:t>
            </w:r>
          </w:p>
        </w:tc>
        <w:tc>
          <w:tcPr>
            <w:tcW w:w="2390" w:type="pct"/>
            <w:tcMar>
              <w:top w:w="0" w:type="dxa"/>
              <w:left w:w="45" w:type="dxa"/>
              <w:bottom w:w="0" w:type="dxa"/>
              <w:right w:w="45" w:type="dxa"/>
            </w:tcMar>
            <w:vAlign w:val="center"/>
            <w:hideMark/>
          </w:tcPr>
          <w:p w:rsidR="001513F3" w:rsidRDefault="001513F3">
            <w:pPr>
              <w:jc w:val="center"/>
              <w:rPr>
                <w:rFonts w:ascii="Arial" w:hAnsi="Arial" w:cs="Arial"/>
                <w:b/>
                <w:bCs/>
                <w:color w:val="000000"/>
                <w:sz w:val="20"/>
                <w:szCs w:val="20"/>
              </w:rPr>
            </w:pPr>
            <w:r>
              <w:rPr>
                <w:rFonts w:ascii="Arial" w:hAnsi="Arial" w:cs="Arial"/>
                <w:b/>
                <w:bCs/>
                <w:color w:val="000000"/>
                <w:sz w:val="20"/>
                <w:szCs w:val="20"/>
              </w:rPr>
              <w:t>Threshold linked to:</w:t>
            </w:r>
          </w:p>
        </w:tc>
        <w:tc>
          <w:tcPr>
            <w:tcW w:w="1375" w:type="pct"/>
            <w:tcMar>
              <w:top w:w="0" w:type="dxa"/>
              <w:left w:w="45" w:type="dxa"/>
              <w:bottom w:w="0" w:type="dxa"/>
              <w:right w:w="45" w:type="dxa"/>
            </w:tcMar>
            <w:vAlign w:val="center"/>
            <w:hideMark/>
          </w:tcPr>
          <w:p w:rsidR="001513F3" w:rsidRDefault="001513F3" w:rsidP="001513F3">
            <w:pPr>
              <w:jc w:val="center"/>
              <w:rPr>
                <w:rFonts w:ascii="Arial" w:hAnsi="Arial" w:cs="Arial"/>
                <w:b/>
                <w:bCs/>
                <w:color w:val="000000"/>
                <w:sz w:val="20"/>
                <w:szCs w:val="20"/>
              </w:rPr>
            </w:pPr>
            <w:r>
              <w:rPr>
                <w:rFonts w:ascii="Arial" w:hAnsi="Arial" w:cs="Arial"/>
                <w:b/>
                <w:bCs/>
                <w:color w:val="000000"/>
                <w:sz w:val="20"/>
                <w:szCs w:val="20"/>
              </w:rPr>
              <w:t>Commercial Banks (%)</w:t>
            </w:r>
          </w:p>
        </w:tc>
        <w:tc>
          <w:tcPr>
            <w:tcW w:w="949" w:type="pct"/>
            <w:tcMar>
              <w:top w:w="0" w:type="dxa"/>
              <w:left w:w="45" w:type="dxa"/>
              <w:bottom w:w="0" w:type="dxa"/>
              <w:right w:w="45" w:type="dxa"/>
            </w:tcMar>
            <w:vAlign w:val="center"/>
            <w:hideMark/>
          </w:tcPr>
          <w:p w:rsidR="001513F3" w:rsidRDefault="001513F3" w:rsidP="001513F3">
            <w:pPr>
              <w:jc w:val="center"/>
              <w:rPr>
                <w:rFonts w:ascii="Arial" w:hAnsi="Arial" w:cs="Arial"/>
                <w:b/>
                <w:bCs/>
                <w:color w:val="000000"/>
                <w:sz w:val="20"/>
                <w:szCs w:val="20"/>
              </w:rPr>
            </w:pPr>
            <w:r>
              <w:rPr>
                <w:rFonts w:ascii="Arial" w:hAnsi="Arial" w:cs="Arial"/>
                <w:b/>
                <w:bCs/>
                <w:color w:val="000000"/>
                <w:sz w:val="20"/>
                <w:szCs w:val="20"/>
              </w:rPr>
              <w:t>UCBs (%)</w:t>
            </w:r>
          </w:p>
        </w:tc>
      </w:tr>
      <w:tr w:rsidR="001513F3" w:rsidTr="001513F3">
        <w:trPr>
          <w:trHeight w:val="442"/>
          <w:jc w:val="center"/>
        </w:trPr>
        <w:tc>
          <w:tcPr>
            <w:tcW w:w="286"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2(a)</w:t>
            </w:r>
          </w:p>
        </w:tc>
        <w:tc>
          <w:tcPr>
            <w:tcW w:w="2390" w:type="pct"/>
            <w:tcMar>
              <w:top w:w="0" w:type="dxa"/>
              <w:left w:w="45" w:type="dxa"/>
              <w:bottom w:w="0" w:type="dxa"/>
              <w:right w:w="45" w:type="dxa"/>
            </w:tcMar>
            <w:vAlign w:val="center"/>
            <w:hideMark/>
          </w:tcPr>
          <w:p w:rsidR="001513F3" w:rsidRDefault="001513F3">
            <w:pPr>
              <w:jc w:val="both"/>
              <w:rPr>
                <w:rFonts w:ascii="Arial" w:hAnsi="Arial" w:cs="Arial"/>
                <w:color w:val="000000"/>
                <w:sz w:val="20"/>
                <w:szCs w:val="20"/>
              </w:rPr>
            </w:pPr>
            <w:r>
              <w:rPr>
                <w:rFonts w:ascii="Arial" w:hAnsi="Arial" w:cs="Arial"/>
                <w:color w:val="000000"/>
                <w:sz w:val="20"/>
                <w:szCs w:val="20"/>
              </w:rPr>
              <w:t>Reported profit before provisions and contingencies</w:t>
            </w:r>
          </w:p>
        </w:tc>
        <w:tc>
          <w:tcPr>
            <w:tcW w:w="1375"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5</w:t>
            </w:r>
          </w:p>
        </w:tc>
      </w:tr>
      <w:tr w:rsidR="001513F3" w:rsidTr="001513F3">
        <w:trPr>
          <w:trHeight w:val="273"/>
          <w:jc w:val="center"/>
        </w:trPr>
        <w:tc>
          <w:tcPr>
            <w:tcW w:w="286"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2(b)</w:t>
            </w:r>
          </w:p>
        </w:tc>
        <w:tc>
          <w:tcPr>
            <w:tcW w:w="2390" w:type="pct"/>
            <w:tcMar>
              <w:top w:w="0" w:type="dxa"/>
              <w:left w:w="45" w:type="dxa"/>
              <w:bottom w:w="0" w:type="dxa"/>
              <w:right w:w="45" w:type="dxa"/>
            </w:tcMar>
            <w:vAlign w:val="center"/>
            <w:hideMark/>
          </w:tcPr>
          <w:p w:rsidR="001513F3" w:rsidRDefault="001513F3">
            <w:pPr>
              <w:jc w:val="both"/>
              <w:rPr>
                <w:rFonts w:ascii="Arial" w:hAnsi="Arial" w:cs="Arial"/>
                <w:color w:val="000000"/>
                <w:sz w:val="20"/>
                <w:szCs w:val="20"/>
              </w:rPr>
            </w:pPr>
            <w:r>
              <w:rPr>
                <w:rFonts w:ascii="Arial" w:hAnsi="Arial" w:cs="Arial"/>
                <w:color w:val="000000"/>
                <w:sz w:val="20"/>
                <w:szCs w:val="20"/>
              </w:rPr>
              <w:t>Reported incremental Gross NPA</w:t>
            </w:r>
          </w:p>
        </w:tc>
        <w:tc>
          <w:tcPr>
            <w:tcW w:w="1375"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5</w:t>
            </w:r>
          </w:p>
        </w:tc>
        <w:tc>
          <w:tcPr>
            <w:tcW w:w="949" w:type="pct"/>
            <w:tcMar>
              <w:top w:w="0" w:type="dxa"/>
              <w:left w:w="45" w:type="dxa"/>
              <w:bottom w:w="0" w:type="dxa"/>
              <w:right w:w="45" w:type="dxa"/>
            </w:tcMar>
            <w:vAlign w:val="center"/>
            <w:hideMark/>
          </w:tcPr>
          <w:p w:rsidR="001513F3" w:rsidRDefault="001513F3">
            <w:pPr>
              <w:jc w:val="center"/>
              <w:rPr>
                <w:rFonts w:ascii="Arial" w:hAnsi="Arial" w:cs="Arial"/>
                <w:color w:val="000000"/>
                <w:sz w:val="20"/>
                <w:szCs w:val="20"/>
              </w:rPr>
            </w:pPr>
            <w:r>
              <w:rPr>
                <w:rFonts w:ascii="Arial" w:hAnsi="Arial" w:cs="Arial"/>
                <w:color w:val="000000"/>
                <w:sz w:val="20"/>
                <w:szCs w:val="20"/>
              </w:rPr>
              <w:t>15*</w:t>
            </w:r>
          </w:p>
        </w:tc>
      </w:tr>
      <w:tr w:rsidR="001513F3" w:rsidTr="001513F3">
        <w:trPr>
          <w:trHeight w:val="197"/>
          <w:jc w:val="center"/>
        </w:trPr>
        <w:tc>
          <w:tcPr>
            <w:tcW w:w="5000" w:type="pct"/>
            <w:gridSpan w:val="4"/>
            <w:tcMar>
              <w:top w:w="0" w:type="dxa"/>
              <w:left w:w="45" w:type="dxa"/>
              <w:bottom w:w="0" w:type="dxa"/>
              <w:right w:w="45" w:type="dxa"/>
            </w:tcMar>
            <w:vAlign w:val="center"/>
            <w:hideMark/>
          </w:tcPr>
          <w:p w:rsidR="001513F3" w:rsidRDefault="001513F3">
            <w:pPr>
              <w:jc w:val="both"/>
              <w:rPr>
                <w:rFonts w:ascii="Arial" w:hAnsi="Arial" w:cs="Arial"/>
                <w:color w:val="000000"/>
                <w:sz w:val="20"/>
                <w:szCs w:val="20"/>
              </w:rPr>
            </w:pPr>
            <w:r>
              <w:rPr>
                <w:rFonts w:ascii="Arial" w:hAnsi="Arial" w:cs="Arial"/>
                <w:color w:val="000000"/>
                <w:sz w:val="20"/>
                <w:szCs w:val="20"/>
              </w:rPr>
              <w:t>*May be reduced subject to review</w:t>
            </w:r>
          </w:p>
        </w:tc>
      </w:tr>
    </w:tbl>
    <w:p w:rsidR="001513F3" w:rsidRDefault="001513F3" w:rsidP="001513F3">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1513F3" w:rsidRDefault="001513F3" w:rsidP="00CA0152">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1513F3" w:rsidRDefault="001513F3" w:rsidP="001513F3">
      <w:pPr>
        <w:spacing w:line="259" w:lineRule="auto"/>
        <w:rPr>
          <w:rFonts w:ascii="Arial" w:hAnsi="Arial" w:cs="Arial"/>
          <w:sz w:val="20"/>
          <w:szCs w:val="20"/>
        </w:rPr>
      </w:pPr>
    </w:p>
    <w:p w:rsidR="001513F3" w:rsidRDefault="001513F3" w:rsidP="001513F3">
      <w:pPr>
        <w:spacing w:line="259" w:lineRule="auto"/>
        <w:rPr>
          <w:rFonts w:ascii="Arial" w:hAnsi="Arial" w:cs="Arial"/>
          <w:sz w:val="20"/>
          <w:szCs w:val="20"/>
        </w:rPr>
      </w:pPr>
    </w:p>
    <w:p w:rsidR="001513F3" w:rsidRDefault="001513F3" w:rsidP="00CA0152">
      <w:pPr>
        <w:spacing w:after="0"/>
      </w:pPr>
      <w:r>
        <w:t>More details can be referred to in the below link.</w:t>
      </w:r>
    </w:p>
    <w:p w:rsidR="001513F3" w:rsidRDefault="001513F3" w:rsidP="001513F3">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49" w:anchor=":~:text=4(e)%20of%20Annexure%20III,by%20the%20Reserve%20Bank%20of" w:history="1">
        <w:r w:rsidRPr="00735218">
          <w:rPr>
            <w:rStyle w:val="Hyperlink"/>
            <w:rFonts w:ascii="Arial" w:hAnsi="Arial" w:cs="Arial"/>
            <w:bCs/>
            <w:sz w:val="20"/>
            <w:szCs w:val="20"/>
          </w:rPr>
          <w:t>https://www.rbi.org.in/scripts/FS_Notification.aspx?Id=12401&amp;fn=2&amp;Mode=0#:~:text=4(e)%20of%20Annexure%20III,by%20the%20Reserve%20Bank%20of</w:t>
        </w:r>
      </w:hyperlink>
    </w:p>
    <w:p w:rsidR="00CF34B8" w:rsidRDefault="00CF34B8" w:rsidP="00CF34B8">
      <w:pPr>
        <w:pStyle w:val="NormalWeb"/>
        <w:rPr>
          <w:rFonts w:ascii="Arial" w:hAnsi="Arial" w:cs="Arial"/>
          <w:b/>
          <w:bCs/>
          <w:color w:val="000000"/>
          <w:sz w:val="20"/>
          <w:szCs w:val="20"/>
        </w:rPr>
      </w:pPr>
      <w:r>
        <w:rPr>
          <w:rFonts w:ascii="Arial" w:hAnsi="Arial" w:cs="Arial"/>
          <w:b/>
          <w:bCs/>
          <w:color w:val="000000"/>
          <w:sz w:val="20"/>
          <w:szCs w:val="20"/>
        </w:rPr>
        <w:lastRenderedPageBreak/>
        <w:t>Claims Received from the National Credit Guarantee Trustee Company Ltd (NCGTC) - Classification for the Purpose of Maintenance of Cash Reserve Ratio (CRR)/Statutory Liquidity Ratio (SLR)</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RBI/2022-23/132</w:t>
      </w:r>
      <w:r>
        <w:rPr>
          <w:rFonts w:ascii="Arial" w:hAnsi="Arial" w:cs="Arial"/>
          <w:color w:val="000000"/>
          <w:sz w:val="20"/>
          <w:szCs w:val="20"/>
        </w:rPr>
        <w:br/>
        <w:t>DOR.RET.REC.79/12.01.001/2022-23</w:t>
      </w:r>
    </w:p>
    <w:p w:rsidR="00CF34B8" w:rsidRDefault="00CF34B8" w:rsidP="00CF34B8">
      <w:pPr>
        <w:pStyle w:val="NormalWeb"/>
        <w:jc w:val="right"/>
        <w:rPr>
          <w:rFonts w:ascii="Arial" w:hAnsi="Arial" w:cs="Arial"/>
          <w:color w:val="000000"/>
          <w:sz w:val="20"/>
          <w:szCs w:val="20"/>
        </w:rPr>
      </w:pPr>
      <w:r>
        <w:rPr>
          <w:rFonts w:ascii="Arial" w:hAnsi="Arial" w:cs="Arial"/>
          <w:color w:val="000000"/>
          <w:sz w:val="20"/>
          <w:szCs w:val="20"/>
        </w:rPr>
        <w:t>October 13, 2022</w:t>
      </w:r>
    </w:p>
    <w:p w:rsidR="00CF34B8" w:rsidRDefault="00CF34B8" w:rsidP="00CF34B8">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/CCBs)</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Madam/Dear Sir,</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Claims Received from the National Credit Guarantee Trustee Company Ltd (NCGTC) - Classification for the Purpose of Maintenance of Cash Reserve Ratio (CRR)/Statutory Liquidity Ratio (SLR)</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Please refer to para 9 (Liabilities not to be included for NDTL computation) of </w:t>
      </w:r>
      <w:hyperlink r:id="rId50" w:tgtFrame="_blank" w:history="1">
        <w:r>
          <w:rPr>
            <w:rStyle w:val="Hyperlink"/>
            <w:rFonts w:ascii="Arial" w:hAnsi="Arial" w:cs="Arial"/>
            <w:sz w:val="20"/>
            <w:szCs w:val="20"/>
          </w:rPr>
          <w:t>Master Direction on CRR/SLR – 2021 dated July 20, 2021, as amended on April 06, 2022</w:t>
        </w:r>
      </w:hyperlink>
      <w:r>
        <w:rPr>
          <w:rFonts w:ascii="Arial" w:hAnsi="Arial" w:cs="Arial"/>
          <w:color w:val="000000"/>
          <w:sz w:val="20"/>
          <w:szCs w:val="20"/>
        </w:rPr>
        <w:t>.</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2. In this connection, it has been decided that the amounts received by a bank from the National Credit Guarantee Trustee Company Ltd towards claims in respect of guarantees invoked and held by them pending adjustment of the same towards the relative advances, need not be treated as outside liabilities for the purpose of computation of NDTL for CRR and SLR.</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3. Accordingly, para 9 of the Master Direction on CRR/SLR – 2021 will henceforth include “Amount received by the eligible banks from National Credit Guarantee Trustee Company Limited (NCGTC) by invoking the guarantee towards claims and pending adjustments thereof”.</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Yours faithfully</w:t>
      </w:r>
    </w:p>
    <w:p w:rsidR="00CF34B8" w:rsidRDefault="00CF34B8" w:rsidP="00CF34B8">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F34B8" w:rsidRDefault="00CF34B8" w:rsidP="00CF34B8"/>
    <w:p w:rsidR="00CF34B8" w:rsidRDefault="00CF34B8" w:rsidP="00CF34B8"/>
    <w:p w:rsidR="00CF34B8" w:rsidRDefault="00CF34B8" w:rsidP="00CF34B8">
      <w:r>
        <w:t>More details can be referred to in the below link.</w:t>
      </w:r>
    </w:p>
    <w:p w:rsidR="00CF34B8" w:rsidRDefault="00CF34B8" w:rsidP="00CF34B8">
      <w:pPr>
        <w:pStyle w:val="NormalWeb"/>
        <w:rPr>
          <w:rFonts w:ascii="Arial" w:hAnsi="Arial" w:cs="Arial"/>
          <w:color w:val="000000"/>
          <w:sz w:val="20"/>
          <w:szCs w:val="20"/>
        </w:rPr>
      </w:pPr>
      <w:r>
        <w:rPr>
          <w:rFonts w:ascii="Arial" w:hAnsi="Arial" w:cs="Arial"/>
          <w:bCs/>
          <w:color w:val="000000"/>
          <w:sz w:val="20"/>
          <w:szCs w:val="20"/>
        </w:rPr>
        <w:t xml:space="preserve">Reference Link: </w:t>
      </w:r>
      <w:hyperlink r:id="rId51" w:history="1">
        <w:r w:rsidRPr="006865D6">
          <w:rPr>
            <w:rStyle w:val="Hyperlink"/>
            <w:rFonts w:ascii="Arial" w:hAnsi="Arial" w:cs="Arial"/>
            <w:sz w:val="20"/>
            <w:szCs w:val="20"/>
          </w:rPr>
          <w:t>https://www.rbi.org.in/scripts/FS_Notification.aspx?Id=12403&amp;fn=2&amp;Mode=0</w:t>
        </w:r>
      </w:hyperlink>
    </w:p>
    <w:p w:rsidR="00CF34B8" w:rsidRDefault="00CF34B8" w:rsidP="00CF34B8">
      <w:pPr>
        <w:pStyle w:val="NormalWeb"/>
        <w:rPr>
          <w:rFonts w:ascii="Arial" w:hAnsi="Arial" w:cs="Arial"/>
          <w:color w:val="000000"/>
          <w:sz w:val="20"/>
          <w:szCs w:val="20"/>
        </w:rPr>
      </w:pPr>
    </w:p>
    <w:p w:rsidR="00CF34B8" w:rsidRDefault="00CF34B8" w:rsidP="00CF34B8">
      <w:pPr>
        <w:pStyle w:val="NormalWeb"/>
        <w:rPr>
          <w:rFonts w:ascii="Arial" w:hAnsi="Arial" w:cs="Arial"/>
          <w:color w:val="000000"/>
          <w:sz w:val="20"/>
          <w:szCs w:val="20"/>
        </w:rPr>
      </w:pPr>
    </w:p>
    <w:p w:rsidR="001513F3" w:rsidRDefault="001513F3"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b/>
          <w:bCs/>
          <w:color w:val="000000"/>
          <w:sz w:val="20"/>
          <w:szCs w:val="20"/>
        </w:rPr>
      </w:pPr>
      <w:r>
        <w:rPr>
          <w:rFonts w:ascii="Arial" w:hAnsi="Arial" w:cs="Arial"/>
          <w:b/>
          <w:bCs/>
          <w:color w:val="000000"/>
          <w:sz w:val="20"/>
          <w:szCs w:val="20"/>
        </w:rPr>
        <w:lastRenderedPageBreak/>
        <w:t>Review of norms for classification of Urban Co-operative Banks (UCBs) as Financially Sound and Well Managed (FSWM)</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RBI/2022-23/143</w:t>
      </w:r>
      <w:r>
        <w:rPr>
          <w:rFonts w:ascii="Arial" w:hAnsi="Arial" w:cs="Arial"/>
          <w:color w:val="000000"/>
          <w:sz w:val="20"/>
          <w:szCs w:val="20"/>
        </w:rPr>
        <w:br/>
        <w:t>DOR.REG.No.85/07.01.000/2022-23</w:t>
      </w:r>
    </w:p>
    <w:p w:rsidR="00CF34B8" w:rsidRDefault="00CF34B8" w:rsidP="00CF34B8">
      <w:pPr>
        <w:pStyle w:val="NormalWeb"/>
        <w:jc w:val="right"/>
        <w:rPr>
          <w:rFonts w:ascii="Arial" w:hAnsi="Arial" w:cs="Arial"/>
          <w:color w:val="000000"/>
          <w:sz w:val="20"/>
          <w:szCs w:val="20"/>
        </w:rPr>
      </w:pPr>
      <w:r>
        <w:rPr>
          <w:rFonts w:ascii="Arial" w:hAnsi="Arial" w:cs="Arial"/>
          <w:color w:val="000000"/>
          <w:sz w:val="20"/>
          <w:szCs w:val="20"/>
        </w:rPr>
        <w:t>December 01, 2022</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Madam / Sir</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Review of norms for classification of Urban Co-operative Banks (UCBs) as Financially Sound and Well Managed (FSWM)</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 xml:space="preserve">In order to ensure a financially sound and stable co-operative sector, select UCBs are termed as Financially Sound and Well Managed (FSWM) subject to </w:t>
      </w:r>
      <w:proofErr w:type="spellStart"/>
      <w:r>
        <w:rPr>
          <w:rFonts w:ascii="Arial" w:hAnsi="Arial" w:cs="Arial"/>
          <w:color w:val="000000"/>
          <w:sz w:val="20"/>
          <w:szCs w:val="20"/>
        </w:rPr>
        <w:t>fulfillment</w:t>
      </w:r>
      <w:proofErr w:type="spellEnd"/>
      <w:r>
        <w:rPr>
          <w:rFonts w:ascii="Arial" w:hAnsi="Arial" w:cs="Arial"/>
          <w:color w:val="000000"/>
          <w:sz w:val="20"/>
          <w:szCs w:val="20"/>
        </w:rPr>
        <w:t xml:space="preserve"> of certain parameters. In this context, a reference is made to our </w:t>
      </w:r>
      <w:hyperlink r:id="rId52" w:tgtFrame="_blank" w:history="1">
        <w:r>
          <w:rPr>
            <w:rStyle w:val="Hyperlink"/>
            <w:rFonts w:ascii="Arial" w:hAnsi="Arial" w:cs="Arial"/>
            <w:sz w:val="20"/>
            <w:szCs w:val="20"/>
          </w:rPr>
          <w:t>circular DCBR.CO.LS (PCB) Cir.No.4/07.01.000/2014-15 dated January 28, 2015</w:t>
        </w:r>
      </w:hyperlink>
      <w:r>
        <w:rPr>
          <w:rFonts w:ascii="Arial" w:hAnsi="Arial" w:cs="Arial"/>
          <w:color w:val="000000"/>
          <w:sz w:val="20"/>
          <w:szCs w:val="20"/>
        </w:rPr>
        <w:t> on “Review of norms for classification of Urban Co-operative Banks (UCBs) as Financially Sound and Well Managed (FSWM)” for criteria prescribed for considering the UCBs as FSWM.</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2. It has been decided to revise the criteria for UCBs to be classified as FSWM. The revised criteria in view of </w:t>
      </w:r>
      <w:hyperlink r:id="rId53" w:tgtFrame="_blank" w:history="1">
        <w:r>
          <w:rPr>
            <w:rStyle w:val="Hyperlink"/>
            <w:rFonts w:ascii="Arial" w:hAnsi="Arial" w:cs="Arial"/>
            <w:sz w:val="20"/>
            <w:szCs w:val="20"/>
          </w:rPr>
          <w:t>Revised Regulatory Framework for Urban Co-operative Banks (UCBs) released by RBI on July 19, 2022</w:t>
        </w:r>
      </w:hyperlink>
      <w:r>
        <w:rPr>
          <w:rFonts w:ascii="Arial" w:hAnsi="Arial" w:cs="Arial"/>
          <w:color w:val="000000"/>
          <w:sz w:val="20"/>
          <w:szCs w:val="20"/>
        </w:rPr>
        <w:t> based on the recommendation of the </w:t>
      </w:r>
      <w:hyperlink r:id="rId54" w:tgtFrame="_blank" w:history="1">
        <w:r>
          <w:rPr>
            <w:rStyle w:val="Hyperlink"/>
            <w:rFonts w:ascii="Arial" w:hAnsi="Arial" w:cs="Arial"/>
            <w:sz w:val="20"/>
            <w:szCs w:val="20"/>
          </w:rPr>
          <w:t>Expert Committee on Primary (Urban) Co-operative Banks</w:t>
        </w:r>
      </w:hyperlink>
      <w:r>
        <w:rPr>
          <w:rFonts w:ascii="Arial" w:hAnsi="Arial" w:cs="Arial"/>
          <w:color w:val="000000"/>
          <w:sz w:val="20"/>
          <w:szCs w:val="20"/>
        </w:rPr>
        <w:t> are given in the </w:t>
      </w:r>
      <w:hyperlink r:id="rId55" w:anchor="AN1" w:history="1">
        <w:r>
          <w:rPr>
            <w:rStyle w:val="Hyperlink"/>
            <w:rFonts w:ascii="Arial" w:hAnsi="Arial" w:cs="Arial"/>
            <w:sz w:val="20"/>
            <w:szCs w:val="20"/>
          </w:rPr>
          <w:t>Annex</w:t>
        </w:r>
      </w:hyperlink>
      <w:r>
        <w:rPr>
          <w:rFonts w:ascii="Arial" w:hAnsi="Arial" w:cs="Arial"/>
          <w:color w:val="000000"/>
          <w:sz w:val="20"/>
          <w:szCs w:val="20"/>
        </w:rPr>
        <w:t>.</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3. Further, the UCBs are now permitted to classify themselves as FSWM based on this revised FSWM criteria.</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4. The revised instructions shall be applicable with immediate effect.</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5. This circular is applicable to all Primary (Urban) Co-operative Banks.</w:t>
      </w:r>
    </w:p>
    <w:p w:rsidR="00CF34B8" w:rsidRDefault="00CF34B8" w:rsidP="00CF34B8">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1513F3">
      <w:pPr>
        <w:spacing w:line="259" w:lineRule="auto"/>
        <w:rPr>
          <w:rFonts w:ascii="Arial" w:hAnsi="Arial" w:cs="Arial"/>
          <w:sz w:val="20"/>
          <w:szCs w:val="20"/>
        </w:rPr>
      </w:pPr>
    </w:p>
    <w:p w:rsidR="00CF34B8" w:rsidRDefault="00CF34B8" w:rsidP="00CF34B8">
      <w:r>
        <w:t>More details can be referred to in the below link.</w:t>
      </w:r>
    </w:p>
    <w:p w:rsidR="00CF34B8" w:rsidRDefault="00CF34B8" w:rsidP="00CF34B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6" w:history="1">
        <w:r w:rsidRPr="00735218">
          <w:rPr>
            <w:rStyle w:val="Hyperlink"/>
            <w:rFonts w:ascii="Arial" w:hAnsi="Arial" w:cs="Arial"/>
            <w:bCs/>
            <w:sz w:val="20"/>
            <w:szCs w:val="20"/>
          </w:rPr>
          <w:t>https://www.rbi.org.in/Scripts/NotificationUser.aspx?Id=12415&amp;Mode=0</w:t>
        </w:r>
      </w:hyperlink>
    </w:p>
    <w:p w:rsidR="00CF34B8" w:rsidRDefault="00CF34B8" w:rsidP="00CF34B8">
      <w:pPr>
        <w:spacing w:line="259" w:lineRule="auto"/>
        <w:rPr>
          <w:rFonts w:ascii="Arial" w:hAnsi="Arial" w:cs="Arial"/>
          <w:bCs/>
          <w:color w:val="000000"/>
          <w:sz w:val="20"/>
          <w:szCs w:val="20"/>
        </w:rPr>
      </w:pPr>
    </w:p>
    <w:p w:rsidR="00CF34B8" w:rsidRDefault="00CF34B8" w:rsidP="00CF34B8">
      <w:pPr>
        <w:spacing w:line="259" w:lineRule="auto"/>
        <w:rPr>
          <w:rFonts w:ascii="Arial" w:hAnsi="Arial" w:cs="Arial"/>
          <w:bCs/>
          <w:color w:val="000000"/>
          <w:sz w:val="20"/>
          <w:szCs w:val="20"/>
        </w:rPr>
      </w:pPr>
    </w:p>
    <w:p w:rsidR="00CF34B8" w:rsidRDefault="00CF34B8" w:rsidP="00CF34B8">
      <w:pPr>
        <w:spacing w:line="259" w:lineRule="auto"/>
        <w:rPr>
          <w:rFonts w:ascii="Arial" w:hAnsi="Arial" w:cs="Arial"/>
          <w:bCs/>
          <w:color w:val="000000"/>
          <w:sz w:val="20"/>
          <w:szCs w:val="20"/>
        </w:rPr>
      </w:pPr>
    </w:p>
    <w:p w:rsidR="00CF34B8" w:rsidRDefault="00CF34B8" w:rsidP="00CF34B8">
      <w:pPr>
        <w:spacing w:line="259" w:lineRule="auto"/>
        <w:rPr>
          <w:rFonts w:ascii="Arial" w:hAnsi="Arial" w:cs="Arial"/>
          <w:bCs/>
          <w:color w:val="000000"/>
          <w:sz w:val="20"/>
          <w:szCs w:val="20"/>
        </w:rPr>
      </w:pPr>
    </w:p>
    <w:p w:rsidR="00CF34B8" w:rsidRDefault="00CF34B8" w:rsidP="00CF34B8">
      <w:pPr>
        <w:spacing w:line="259" w:lineRule="auto"/>
        <w:rPr>
          <w:rFonts w:ascii="Arial" w:hAnsi="Arial" w:cs="Arial"/>
          <w:bCs/>
          <w:color w:val="000000"/>
          <w:sz w:val="20"/>
          <w:szCs w:val="20"/>
        </w:rPr>
      </w:pPr>
    </w:p>
    <w:p w:rsidR="00CF34B8" w:rsidRDefault="00CF34B8" w:rsidP="00CF34B8">
      <w:pPr>
        <w:spacing w:line="259" w:lineRule="auto"/>
        <w:rPr>
          <w:rFonts w:ascii="Arial" w:hAnsi="Arial" w:cs="Arial"/>
          <w:b/>
          <w:bCs/>
          <w:color w:val="000000"/>
          <w:sz w:val="20"/>
          <w:szCs w:val="20"/>
        </w:rPr>
      </w:pPr>
      <w:r>
        <w:rPr>
          <w:rFonts w:ascii="Arial" w:hAnsi="Arial" w:cs="Arial"/>
          <w:b/>
          <w:bCs/>
          <w:color w:val="000000"/>
          <w:sz w:val="20"/>
          <w:szCs w:val="20"/>
        </w:rPr>
        <w:lastRenderedPageBreak/>
        <w:t>Revised Regulatory Framework - Categorization of Urban Co-operative Banks (UCBs) for Regulatory Purposes</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RBI/2022-23/144</w:t>
      </w:r>
      <w:r>
        <w:rPr>
          <w:rFonts w:ascii="Arial" w:hAnsi="Arial" w:cs="Arial"/>
          <w:color w:val="000000"/>
          <w:sz w:val="20"/>
          <w:szCs w:val="20"/>
        </w:rPr>
        <w:br/>
        <w:t>DOR.REG.No.84/07.01.000/2022-23</w:t>
      </w:r>
    </w:p>
    <w:p w:rsidR="00CF34B8" w:rsidRDefault="00CF34B8" w:rsidP="00CF34B8">
      <w:pPr>
        <w:pStyle w:val="NormalWeb"/>
        <w:jc w:val="right"/>
        <w:rPr>
          <w:rFonts w:ascii="Arial" w:hAnsi="Arial" w:cs="Arial"/>
          <w:color w:val="000000"/>
          <w:sz w:val="20"/>
          <w:szCs w:val="20"/>
        </w:rPr>
      </w:pPr>
      <w:r>
        <w:rPr>
          <w:rFonts w:ascii="Arial" w:hAnsi="Arial" w:cs="Arial"/>
          <w:color w:val="000000"/>
          <w:sz w:val="20"/>
          <w:szCs w:val="20"/>
        </w:rPr>
        <w:t>December 01, 2022</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Madam / Sir</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Revised Regulatory Framework - Categorization of Urban Co-operative Banks (UCBs) for Regulatory Purposes</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Given the heterogeneity in the cooperative sector, a tiered regulatory framework is required to balance the spirit of mutuality and co-operation more prevalent in banks of smaller sizes and those with limited area of operation vis-à-vis the growth ambitions of the large-sized UCBs to spread their area of operation and undertake more complex business activities.</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2. The Reserve Bank of India had constituted the </w:t>
      </w:r>
      <w:hyperlink r:id="rId57" w:tgtFrame="_blank" w:history="1">
        <w:r>
          <w:rPr>
            <w:rStyle w:val="Hyperlink"/>
            <w:rFonts w:ascii="Arial" w:hAnsi="Arial" w:cs="Arial"/>
            <w:sz w:val="20"/>
            <w:szCs w:val="20"/>
          </w:rPr>
          <w:t>Expert Committee on Urban Co-operative Banks</w:t>
        </w:r>
      </w:hyperlink>
      <w:r>
        <w:rPr>
          <w:rFonts w:ascii="Arial" w:hAnsi="Arial" w:cs="Arial"/>
          <w:color w:val="000000"/>
          <w:sz w:val="20"/>
          <w:szCs w:val="20"/>
        </w:rPr>
        <w:t> to examine the issues in urban cooperative banking sector and to review regulatory/ supervisory approach for strengthening the sector. Based on the recommendations of the Expert Committee, RBI had released the </w:t>
      </w:r>
      <w:hyperlink r:id="rId58" w:tgtFrame="_blank" w:history="1">
        <w:r>
          <w:rPr>
            <w:rStyle w:val="Hyperlink"/>
            <w:rFonts w:ascii="Arial" w:hAnsi="Arial" w:cs="Arial"/>
            <w:sz w:val="20"/>
            <w:szCs w:val="20"/>
          </w:rPr>
          <w:t>Revised Regulatory Framework for Urban Co-operative Banks (UCBs) on July 19, 2022</w:t>
        </w:r>
      </w:hyperlink>
      <w:r>
        <w:rPr>
          <w:rFonts w:ascii="Arial" w:hAnsi="Arial" w:cs="Arial"/>
          <w:color w:val="000000"/>
          <w:sz w:val="20"/>
          <w:szCs w:val="20"/>
        </w:rPr>
        <w:t>.</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3. Accordingly, it has been decided to adopt a four-tiered regulatory framework, as against the existing two-tiered framework, for categorization of UCBs. Going forward, this categorization may be used for differentiated regulatory prescriptions aimed at strengthening the financial soundness of the UCBs.</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4. The categorization of UCBs, based on their deposit size, is enclosed in </w:t>
      </w:r>
      <w:hyperlink r:id="rId59" w:anchor="AN1" w:history="1">
        <w:r>
          <w:rPr>
            <w:rStyle w:val="Hyperlink"/>
            <w:rFonts w:ascii="Arial" w:hAnsi="Arial" w:cs="Arial"/>
            <w:sz w:val="20"/>
            <w:szCs w:val="20"/>
          </w:rPr>
          <w:t>Annex</w:t>
        </w:r>
      </w:hyperlink>
      <w:r>
        <w:rPr>
          <w:rFonts w:ascii="Arial" w:hAnsi="Arial" w:cs="Arial"/>
          <w:color w:val="000000"/>
          <w:sz w:val="20"/>
          <w:szCs w:val="20"/>
        </w:rPr>
        <w:t>.</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Commencement</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5. The instructions shall be applicable with immediate effect.</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6. This circular is applicable to all Primary (Urban) Co-operative Banks.</w:t>
      </w:r>
    </w:p>
    <w:p w:rsidR="00CF34B8" w:rsidRDefault="00CF34B8" w:rsidP="00CF34B8">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F34B8" w:rsidRDefault="00CF34B8" w:rsidP="00CF34B8">
      <w:pPr>
        <w:spacing w:line="259" w:lineRule="auto"/>
        <w:rPr>
          <w:rFonts w:ascii="Arial" w:hAnsi="Arial" w:cs="Arial"/>
          <w:sz w:val="20"/>
          <w:szCs w:val="20"/>
        </w:rPr>
      </w:pPr>
    </w:p>
    <w:p w:rsidR="00CF34B8" w:rsidRDefault="00CF34B8" w:rsidP="00CF34B8">
      <w:pPr>
        <w:spacing w:line="259" w:lineRule="auto"/>
        <w:rPr>
          <w:rFonts w:ascii="Arial" w:hAnsi="Arial" w:cs="Arial"/>
          <w:sz w:val="20"/>
          <w:szCs w:val="20"/>
        </w:rPr>
      </w:pPr>
    </w:p>
    <w:p w:rsidR="00CF34B8" w:rsidRDefault="00CF34B8" w:rsidP="00CF34B8">
      <w:r>
        <w:t>More details can be referred to in the below link.</w:t>
      </w:r>
    </w:p>
    <w:p w:rsidR="00CF34B8" w:rsidRDefault="00CF34B8" w:rsidP="00CF34B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60" w:history="1">
        <w:r w:rsidRPr="00735218">
          <w:rPr>
            <w:rStyle w:val="Hyperlink"/>
            <w:rFonts w:ascii="Arial" w:hAnsi="Arial" w:cs="Arial"/>
            <w:bCs/>
            <w:sz w:val="20"/>
            <w:szCs w:val="20"/>
          </w:rPr>
          <w:t>https://m.rbi.org.in/scripts/FS_Notification.aspx?Id=12416&amp;fn=2755&amp;Mode=0</w:t>
        </w:r>
      </w:hyperlink>
    </w:p>
    <w:p w:rsidR="00CF34B8" w:rsidRDefault="00CF34B8" w:rsidP="00CF34B8">
      <w:pPr>
        <w:spacing w:line="259" w:lineRule="auto"/>
        <w:rPr>
          <w:rFonts w:ascii="Arial" w:hAnsi="Arial" w:cs="Arial"/>
          <w:bCs/>
          <w:color w:val="000000"/>
          <w:sz w:val="20"/>
          <w:szCs w:val="20"/>
        </w:rPr>
      </w:pPr>
    </w:p>
    <w:p w:rsidR="00587F28" w:rsidRDefault="00587F28" w:rsidP="00CF34B8">
      <w:pPr>
        <w:spacing w:line="259" w:lineRule="auto"/>
        <w:rPr>
          <w:rFonts w:ascii="Arial" w:hAnsi="Arial" w:cs="Arial"/>
          <w:bCs/>
          <w:color w:val="000000"/>
          <w:sz w:val="20"/>
          <w:szCs w:val="20"/>
        </w:rPr>
      </w:pPr>
    </w:p>
    <w:p w:rsidR="00021745" w:rsidRDefault="00021745" w:rsidP="00CF34B8">
      <w:pPr>
        <w:spacing w:line="259" w:lineRule="auto"/>
        <w:rPr>
          <w:rFonts w:ascii="Arial" w:hAnsi="Arial" w:cs="Arial"/>
          <w:b/>
          <w:bCs/>
          <w:color w:val="000000"/>
          <w:sz w:val="20"/>
          <w:szCs w:val="20"/>
        </w:rPr>
      </w:pPr>
    </w:p>
    <w:p w:rsidR="00021745" w:rsidRDefault="00021745" w:rsidP="00CF34B8">
      <w:pPr>
        <w:spacing w:line="259" w:lineRule="auto"/>
        <w:rPr>
          <w:rFonts w:ascii="Arial" w:hAnsi="Arial" w:cs="Arial"/>
          <w:b/>
          <w:bCs/>
          <w:color w:val="000000"/>
          <w:sz w:val="20"/>
          <w:szCs w:val="20"/>
        </w:rPr>
      </w:pPr>
    </w:p>
    <w:p w:rsidR="00021745" w:rsidRDefault="00021745" w:rsidP="00CF34B8">
      <w:pPr>
        <w:spacing w:line="259" w:lineRule="auto"/>
        <w:rPr>
          <w:rFonts w:ascii="Arial" w:hAnsi="Arial" w:cs="Arial"/>
          <w:b/>
          <w:bCs/>
          <w:color w:val="000000"/>
          <w:sz w:val="20"/>
          <w:szCs w:val="20"/>
        </w:rPr>
      </w:pPr>
    </w:p>
    <w:p w:rsidR="00CF34B8" w:rsidRDefault="00CF34B8" w:rsidP="00CF34B8">
      <w:pPr>
        <w:spacing w:line="259" w:lineRule="auto"/>
        <w:rPr>
          <w:rFonts w:ascii="Arial" w:hAnsi="Arial" w:cs="Arial"/>
          <w:b/>
          <w:bCs/>
          <w:color w:val="000000"/>
          <w:sz w:val="20"/>
          <w:szCs w:val="20"/>
        </w:rPr>
      </w:pPr>
      <w:bookmarkStart w:id="0" w:name="_GoBack"/>
      <w:bookmarkEnd w:id="0"/>
      <w:r>
        <w:rPr>
          <w:rFonts w:ascii="Arial" w:hAnsi="Arial" w:cs="Arial"/>
          <w:b/>
          <w:bCs/>
          <w:color w:val="000000"/>
          <w:sz w:val="20"/>
          <w:szCs w:val="20"/>
        </w:rPr>
        <w:lastRenderedPageBreak/>
        <w:t>Revised Regulatory Framework for Urban Co-operative Banks (UCBs) – Net Worth and Capital Adequacy</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RBI/2022-23/146</w:t>
      </w:r>
      <w:r>
        <w:rPr>
          <w:rFonts w:ascii="Arial" w:hAnsi="Arial" w:cs="Arial"/>
          <w:color w:val="000000"/>
          <w:sz w:val="20"/>
          <w:szCs w:val="20"/>
        </w:rPr>
        <w:br/>
        <w:t>DOR.CAP.REC.No.86/09.18.201/2022-23</w:t>
      </w:r>
    </w:p>
    <w:p w:rsidR="00CF34B8" w:rsidRDefault="00CF34B8" w:rsidP="00CF34B8">
      <w:pPr>
        <w:pStyle w:val="NormalWeb"/>
        <w:jc w:val="right"/>
        <w:rPr>
          <w:rFonts w:ascii="Arial" w:hAnsi="Arial" w:cs="Arial"/>
          <w:color w:val="000000"/>
          <w:sz w:val="20"/>
          <w:szCs w:val="20"/>
        </w:rPr>
      </w:pPr>
      <w:r>
        <w:rPr>
          <w:rFonts w:ascii="Arial" w:hAnsi="Arial" w:cs="Arial"/>
          <w:color w:val="000000"/>
          <w:sz w:val="20"/>
          <w:szCs w:val="20"/>
        </w:rPr>
        <w:t>December 1, 2022</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Dear Sir/Madam,</w:t>
      </w:r>
    </w:p>
    <w:p w:rsidR="00CF34B8" w:rsidRDefault="00CF34B8" w:rsidP="00CF34B8">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CF34B8" w:rsidRDefault="00CF34B8" w:rsidP="00CF34B8">
      <w:pPr>
        <w:pStyle w:val="NormalWeb"/>
        <w:jc w:val="both"/>
        <w:rPr>
          <w:rFonts w:ascii="Arial" w:hAnsi="Arial" w:cs="Arial"/>
          <w:color w:val="000000"/>
          <w:sz w:val="20"/>
          <w:szCs w:val="20"/>
        </w:rPr>
      </w:pPr>
      <w:r>
        <w:rPr>
          <w:rFonts w:ascii="Arial" w:hAnsi="Arial" w:cs="Arial"/>
          <w:color w:val="000000"/>
          <w:sz w:val="20"/>
          <w:szCs w:val="20"/>
        </w:rPr>
        <w:t>Please refer to the Revised Regulatory Framework for Urban Co-operative Banks (UCBs) emanating from the recommendations of Expert Committee on Urban Co-operative Banks (</w:t>
      </w:r>
      <w:hyperlink r:id="rId61" w:tgtFrame="_blank" w:history="1">
        <w:r>
          <w:rPr>
            <w:rStyle w:val="Hyperlink"/>
            <w:rFonts w:ascii="Arial" w:hAnsi="Arial" w:cs="Arial"/>
            <w:sz w:val="20"/>
            <w:szCs w:val="20"/>
          </w:rPr>
          <w:t>Press Release: 2022-2023/561 dated July 19, 2022</w:t>
        </w:r>
      </w:hyperlink>
      <w:r>
        <w:rPr>
          <w:rFonts w:ascii="Arial" w:hAnsi="Arial" w:cs="Arial"/>
          <w:color w:val="000000"/>
          <w:sz w:val="20"/>
          <w:szCs w:val="20"/>
        </w:rPr>
        <w:t>) and </w:t>
      </w:r>
      <w:hyperlink r:id="rId62" w:tgtFrame="_blank" w:history="1">
        <w:r>
          <w:rPr>
            <w:rStyle w:val="Hyperlink"/>
            <w:rFonts w:ascii="Arial" w:hAnsi="Arial" w:cs="Arial"/>
            <w:sz w:val="20"/>
            <w:szCs w:val="20"/>
          </w:rPr>
          <w:t>circular no. DOR.REG.No.84/07.01.000/2022-23 dated December 1, 2022</w:t>
        </w:r>
      </w:hyperlink>
      <w:r>
        <w:rPr>
          <w:rFonts w:ascii="Arial" w:hAnsi="Arial" w:cs="Arial"/>
          <w:color w:val="000000"/>
          <w:sz w:val="20"/>
          <w:szCs w:val="20"/>
        </w:rPr>
        <w:t>, on Revised Regulatory Framework - Categorization of Urban Co-operative Banks (UCBs) for Regulatory Purposes. The detailed guidelines are provided below:</w:t>
      </w:r>
    </w:p>
    <w:p w:rsidR="00CF34B8" w:rsidRDefault="00587F28" w:rsidP="00CF34B8">
      <w:pPr>
        <w:pStyle w:val="head"/>
        <w:jc w:val="both"/>
        <w:rPr>
          <w:rFonts w:ascii="Arial" w:hAnsi="Arial" w:cs="Arial"/>
          <w:b/>
          <w:bCs/>
          <w:color w:val="000000"/>
          <w:sz w:val="20"/>
          <w:szCs w:val="20"/>
        </w:rPr>
      </w:pPr>
      <w:r>
        <w:rPr>
          <w:rFonts w:ascii="Arial" w:hAnsi="Arial" w:cs="Arial"/>
          <w:b/>
          <w:bCs/>
          <w:color w:val="000000"/>
          <w:sz w:val="20"/>
          <w:szCs w:val="20"/>
        </w:rPr>
        <w:t xml:space="preserve">A. </w:t>
      </w:r>
      <w:r w:rsidR="00CF34B8">
        <w:rPr>
          <w:rFonts w:ascii="Arial" w:hAnsi="Arial" w:cs="Arial"/>
          <w:b/>
          <w:bCs/>
          <w:color w:val="000000"/>
          <w:sz w:val="20"/>
          <w:szCs w:val="20"/>
        </w:rPr>
        <w:t>Net Worth</w:t>
      </w:r>
    </w:p>
    <w:p w:rsidR="00CF34B8" w:rsidRDefault="00CF34B8" w:rsidP="00587F28">
      <w:pPr>
        <w:pStyle w:val="NormalWeb"/>
        <w:spacing w:after="0" w:afterAutospacing="0"/>
        <w:jc w:val="both"/>
        <w:rPr>
          <w:rFonts w:ascii="Arial" w:hAnsi="Arial" w:cs="Arial"/>
          <w:color w:val="000000"/>
          <w:sz w:val="20"/>
          <w:szCs w:val="20"/>
        </w:rPr>
      </w:pPr>
      <w:r>
        <w:rPr>
          <w:rFonts w:ascii="Arial" w:hAnsi="Arial" w:cs="Arial"/>
          <w:color w:val="000000"/>
          <w:sz w:val="20"/>
          <w:szCs w:val="20"/>
        </w:rPr>
        <w:t>2. UCBs shall have minimum net worth as under:</w:t>
      </w:r>
    </w:p>
    <w:p w:rsidR="00CF34B8" w:rsidRDefault="00CF34B8" w:rsidP="00587F28">
      <w:pPr>
        <w:pStyle w:val="NormalWeb"/>
        <w:numPr>
          <w:ilvl w:val="0"/>
          <w:numId w:val="34"/>
        </w:numPr>
        <w:spacing w:before="0" w:beforeAutospacing="0"/>
        <w:ind w:left="0"/>
        <w:jc w:val="both"/>
        <w:rPr>
          <w:rFonts w:ascii="Arial" w:hAnsi="Arial" w:cs="Arial"/>
          <w:color w:val="000000"/>
          <w:sz w:val="20"/>
          <w:szCs w:val="20"/>
        </w:rPr>
      </w:pPr>
      <w:r>
        <w:rPr>
          <w:rFonts w:ascii="Arial" w:hAnsi="Arial" w:cs="Arial"/>
          <w:color w:val="000000"/>
          <w:sz w:val="20"/>
          <w:szCs w:val="20"/>
        </w:rPr>
        <w:t xml:space="preserve">Tier 1 UCBs operating in a single district shall have minimum net worth of ₹2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CF34B8" w:rsidRDefault="00CF34B8" w:rsidP="00CF34B8">
      <w:pPr>
        <w:pStyle w:val="NormalWeb"/>
        <w:numPr>
          <w:ilvl w:val="0"/>
          <w:numId w:val="34"/>
        </w:numPr>
        <w:ind w:left="0"/>
        <w:jc w:val="both"/>
        <w:rPr>
          <w:rFonts w:ascii="Arial" w:hAnsi="Arial" w:cs="Arial"/>
          <w:color w:val="000000"/>
          <w:sz w:val="20"/>
          <w:szCs w:val="20"/>
        </w:rPr>
      </w:pPr>
      <w:r>
        <w:rPr>
          <w:rFonts w:ascii="Arial" w:hAnsi="Arial" w:cs="Arial"/>
          <w:color w:val="000000"/>
          <w:sz w:val="20"/>
          <w:szCs w:val="20"/>
        </w:rPr>
        <w:t xml:space="preserve">All other UCBs (of all tiers) shall have minimum net worth of ₹5 </w:t>
      </w:r>
      <w:proofErr w:type="gramStart"/>
      <w:r>
        <w:rPr>
          <w:rFonts w:ascii="Arial" w:hAnsi="Arial" w:cs="Arial"/>
          <w:color w:val="000000"/>
          <w:sz w:val="20"/>
          <w:szCs w:val="20"/>
        </w:rPr>
        <w:t>crore</w:t>
      </w:r>
      <w:proofErr w:type="gramEnd"/>
      <w:r>
        <w:rPr>
          <w:rFonts w:ascii="Arial" w:hAnsi="Arial" w:cs="Arial"/>
          <w:color w:val="000000"/>
          <w:sz w:val="20"/>
          <w:szCs w:val="20"/>
        </w:rPr>
        <w:t>.</w:t>
      </w:r>
    </w:p>
    <w:p w:rsidR="00CF34B8" w:rsidRDefault="00CF34B8" w:rsidP="00587F28">
      <w:pPr>
        <w:pStyle w:val="NormalWeb"/>
        <w:numPr>
          <w:ilvl w:val="0"/>
          <w:numId w:val="34"/>
        </w:numPr>
        <w:spacing w:after="0" w:afterAutospacing="0"/>
        <w:ind w:left="0"/>
        <w:jc w:val="both"/>
        <w:rPr>
          <w:rFonts w:ascii="Arial" w:hAnsi="Arial" w:cs="Arial"/>
          <w:color w:val="000000"/>
          <w:sz w:val="20"/>
          <w:szCs w:val="20"/>
        </w:rPr>
      </w:pPr>
      <w:r>
        <w:rPr>
          <w:rFonts w:ascii="Arial" w:hAnsi="Arial" w:cs="Arial"/>
          <w:color w:val="000000"/>
          <w:sz w:val="20"/>
          <w:szCs w:val="20"/>
        </w:rPr>
        <w:t xml:space="preserve">UCBs which currently do not meet the minimum net worth requirement, as above, shall achieve the minimum net worth of ₹2 crore or ₹5 </w:t>
      </w:r>
      <w:proofErr w:type="gramStart"/>
      <w:r>
        <w:rPr>
          <w:rFonts w:ascii="Arial" w:hAnsi="Arial" w:cs="Arial"/>
          <w:color w:val="000000"/>
          <w:sz w:val="20"/>
          <w:szCs w:val="20"/>
        </w:rPr>
        <w:t>crore</w:t>
      </w:r>
      <w:proofErr w:type="gramEnd"/>
      <w:r>
        <w:rPr>
          <w:rFonts w:ascii="Arial" w:hAnsi="Arial" w:cs="Arial"/>
          <w:color w:val="000000"/>
          <w:sz w:val="20"/>
          <w:szCs w:val="20"/>
        </w:rPr>
        <w:t xml:space="preserve"> (as applicable) in a phased manner. Such UCBs shall achieve at least 50 per cent of the applicable minimum net worth on or before March 31, 2026 and the entire stipulated minimum net worth on or before March 31, 2028.</w:t>
      </w:r>
    </w:p>
    <w:p w:rsidR="00CF34B8" w:rsidRDefault="00587F28" w:rsidP="00CF34B8">
      <w:pPr>
        <w:pStyle w:val="head"/>
        <w:jc w:val="both"/>
        <w:rPr>
          <w:rFonts w:ascii="Arial" w:hAnsi="Arial" w:cs="Arial"/>
          <w:b/>
          <w:bCs/>
          <w:color w:val="000000"/>
          <w:sz w:val="20"/>
          <w:szCs w:val="20"/>
        </w:rPr>
      </w:pPr>
      <w:r>
        <w:rPr>
          <w:rFonts w:ascii="Arial" w:hAnsi="Arial" w:cs="Arial"/>
          <w:b/>
          <w:bCs/>
          <w:color w:val="000000"/>
          <w:sz w:val="20"/>
          <w:szCs w:val="20"/>
        </w:rPr>
        <w:t xml:space="preserve">B. </w:t>
      </w:r>
      <w:r w:rsidR="00CF34B8">
        <w:rPr>
          <w:rFonts w:ascii="Arial" w:hAnsi="Arial" w:cs="Arial"/>
          <w:b/>
          <w:bCs/>
          <w:color w:val="000000"/>
          <w:sz w:val="20"/>
          <w:szCs w:val="20"/>
        </w:rPr>
        <w:t>Minimum capital to risk weighted assets ratio (CRAR) requirement</w:t>
      </w:r>
    </w:p>
    <w:p w:rsidR="00CF34B8" w:rsidRDefault="00CF34B8" w:rsidP="00587F28">
      <w:pPr>
        <w:pStyle w:val="NormalWeb"/>
        <w:spacing w:after="0" w:afterAutospacing="0"/>
        <w:jc w:val="both"/>
        <w:rPr>
          <w:rFonts w:ascii="Arial" w:hAnsi="Arial" w:cs="Arial"/>
          <w:color w:val="000000"/>
          <w:sz w:val="20"/>
          <w:szCs w:val="20"/>
        </w:rPr>
      </w:pPr>
      <w:r>
        <w:rPr>
          <w:rFonts w:ascii="Arial" w:hAnsi="Arial" w:cs="Arial"/>
          <w:color w:val="000000"/>
          <w:sz w:val="20"/>
          <w:szCs w:val="20"/>
        </w:rPr>
        <w:t>3. UCBs shall maintain minimum CRAR as under:</w:t>
      </w:r>
    </w:p>
    <w:p w:rsidR="00CF34B8" w:rsidRDefault="00CF34B8" w:rsidP="00587F28">
      <w:pPr>
        <w:pStyle w:val="NormalWeb"/>
        <w:numPr>
          <w:ilvl w:val="0"/>
          <w:numId w:val="35"/>
        </w:numPr>
        <w:spacing w:before="0" w:beforeAutospacing="0"/>
        <w:ind w:left="0"/>
        <w:jc w:val="both"/>
        <w:rPr>
          <w:rFonts w:ascii="Arial" w:hAnsi="Arial" w:cs="Arial"/>
          <w:color w:val="000000"/>
          <w:sz w:val="20"/>
          <w:szCs w:val="20"/>
        </w:rPr>
      </w:pPr>
      <w:r>
        <w:rPr>
          <w:rFonts w:ascii="Arial" w:hAnsi="Arial" w:cs="Arial"/>
          <w:color w:val="000000"/>
          <w:sz w:val="20"/>
          <w:szCs w:val="20"/>
        </w:rPr>
        <w:t>Tier 1 UCBs shall maintain, as hitherto, a minimum CRAR of 9 per cent of Risk Weighted Assets (RWAs) on an ongoing basis.</w:t>
      </w:r>
    </w:p>
    <w:p w:rsidR="00CF34B8" w:rsidRDefault="00CF34B8" w:rsidP="00CF34B8">
      <w:pPr>
        <w:pStyle w:val="NormalWeb"/>
        <w:numPr>
          <w:ilvl w:val="0"/>
          <w:numId w:val="35"/>
        </w:numPr>
        <w:ind w:left="0"/>
        <w:jc w:val="both"/>
        <w:rPr>
          <w:rFonts w:ascii="Arial" w:hAnsi="Arial" w:cs="Arial"/>
          <w:color w:val="000000"/>
          <w:sz w:val="20"/>
          <w:szCs w:val="20"/>
        </w:rPr>
      </w:pPr>
      <w:r>
        <w:rPr>
          <w:rFonts w:ascii="Arial" w:hAnsi="Arial" w:cs="Arial"/>
          <w:color w:val="000000"/>
          <w:sz w:val="20"/>
          <w:szCs w:val="20"/>
        </w:rPr>
        <w:t>Tier 2 to 4 UCBs shall maintain a minimum CRAR of 12 per cent of RWAs on an ongoing basis.</w:t>
      </w:r>
    </w:p>
    <w:p w:rsidR="00CF34B8" w:rsidRDefault="00CF34B8" w:rsidP="00587F28">
      <w:pPr>
        <w:pStyle w:val="NormalWeb"/>
        <w:numPr>
          <w:ilvl w:val="0"/>
          <w:numId w:val="35"/>
        </w:numPr>
        <w:spacing w:after="0" w:afterAutospacing="0"/>
        <w:ind w:left="0"/>
        <w:jc w:val="both"/>
        <w:rPr>
          <w:rFonts w:ascii="Arial" w:hAnsi="Arial" w:cs="Arial"/>
          <w:color w:val="000000"/>
          <w:sz w:val="20"/>
          <w:szCs w:val="20"/>
        </w:rPr>
      </w:pPr>
      <w:r>
        <w:rPr>
          <w:rFonts w:ascii="Arial" w:hAnsi="Arial" w:cs="Arial"/>
          <w:color w:val="000000"/>
          <w:sz w:val="20"/>
          <w:szCs w:val="20"/>
        </w:rPr>
        <w:t>UCBs in Tier 2 to 4, which do not currently meet the revised CRAR of 12 per cent of RWAs, shall achieve the same in a phased manner. Such UCBs shall achieve the CRAR of at least 10 per cent by March 31, 2024, 11 per cent by March 31, 2025, and 12 per cent by March 31, 2026.</w:t>
      </w:r>
    </w:p>
    <w:p w:rsidR="00CF34B8" w:rsidRDefault="00587F28" w:rsidP="00CF34B8">
      <w:pPr>
        <w:pStyle w:val="head"/>
        <w:jc w:val="both"/>
        <w:rPr>
          <w:rFonts w:ascii="Arial" w:hAnsi="Arial" w:cs="Arial"/>
          <w:b/>
          <w:bCs/>
          <w:color w:val="000000"/>
          <w:sz w:val="20"/>
          <w:szCs w:val="20"/>
        </w:rPr>
      </w:pPr>
      <w:r>
        <w:rPr>
          <w:rFonts w:ascii="Arial" w:hAnsi="Arial" w:cs="Arial"/>
          <w:b/>
          <w:bCs/>
          <w:color w:val="000000"/>
          <w:sz w:val="20"/>
          <w:szCs w:val="20"/>
        </w:rPr>
        <w:t xml:space="preserve">C. </w:t>
      </w:r>
      <w:r w:rsidR="00CF34B8">
        <w:rPr>
          <w:rFonts w:ascii="Arial" w:hAnsi="Arial" w:cs="Arial"/>
          <w:b/>
          <w:bCs/>
          <w:color w:val="000000"/>
          <w:sz w:val="20"/>
          <w:szCs w:val="20"/>
        </w:rPr>
        <w:t>Revaluation Reserves</w:t>
      </w:r>
    </w:p>
    <w:p w:rsidR="00CF34B8" w:rsidRDefault="00CF34B8" w:rsidP="00587F28">
      <w:pPr>
        <w:pStyle w:val="NormalWeb"/>
        <w:spacing w:after="0" w:afterAutospacing="0"/>
        <w:jc w:val="both"/>
        <w:rPr>
          <w:rFonts w:ascii="Arial" w:hAnsi="Arial" w:cs="Arial"/>
          <w:color w:val="000000"/>
          <w:sz w:val="20"/>
          <w:szCs w:val="20"/>
        </w:rPr>
      </w:pPr>
      <w:r>
        <w:rPr>
          <w:rFonts w:ascii="Arial" w:hAnsi="Arial" w:cs="Arial"/>
          <w:color w:val="000000"/>
          <w:sz w:val="20"/>
          <w:szCs w:val="20"/>
        </w:rPr>
        <w:t>5. Revaluation reserves, arising out of change in the carrying amount of a bank’s property consequent upon its revaluation, may henceforth be reckoned as Tier 1 capita</w:t>
      </w:r>
      <w:r w:rsidR="00587F28">
        <w:rPr>
          <w:rFonts w:ascii="Arial" w:hAnsi="Arial" w:cs="Arial"/>
          <w:color w:val="000000"/>
          <w:sz w:val="20"/>
          <w:szCs w:val="20"/>
        </w:rPr>
        <w:t xml:space="preserve">l at a discount of 55 per cent. </w:t>
      </w:r>
    </w:p>
    <w:p w:rsidR="00CF34B8" w:rsidRDefault="00CF34B8" w:rsidP="00CF34B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CF34B8" w:rsidRDefault="00CF34B8" w:rsidP="00587F28">
      <w:pPr>
        <w:pStyle w:val="NormalWeb"/>
        <w:spacing w:before="0" w:beforeAutospacing="0"/>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F34B8" w:rsidRDefault="00CF34B8" w:rsidP="00CF34B8">
      <w:pPr>
        <w:spacing w:line="259" w:lineRule="auto"/>
        <w:rPr>
          <w:rFonts w:ascii="Arial" w:hAnsi="Arial" w:cs="Arial"/>
          <w:sz w:val="20"/>
          <w:szCs w:val="20"/>
        </w:rPr>
      </w:pPr>
    </w:p>
    <w:p w:rsidR="00587F28" w:rsidRDefault="00587F28" w:rsidP="00CF34B8">
      <w:pPr>
        <w:spacing w:line="259" w:lineRule="auto"/>
        <w:rPr>
          <w:rFonts w:ascii="Arial" w:hAnsi="Arial" w:cs="Arial"/>
          <w:sz w:val="20"/>
          <w:szCs w:val="20"/>
        </w:rPr>
      </w:pPr>
    </w:p>
    <w:p w:rsidR="00587F28" w:rsidRDefault="00587F28" w:rsidP="00587F28">
      <w:r>
        <w:t>More details can be referred to in the below link.</w:t>
      </w:r>
    </w:p>
    <w:p w:rsidR="00587F28" w:rsidRDefault="00587F28" w:rsidP="00587F28">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63" w:anchor=":~:text=UCBs%20shall%20have%20minimum%20net,worth%20of%20%E2%82%B95%20crore" w:history="1">
        <w:r w:rsidRPr="00735218">
          <w:rPr>
            <w:rStyle w:val="Hyperlink"/>
            <w:rFonts w:ascii="Arial" w:hAnsi="Arial" w:cs="Arial"/>
            <w:bCs/>
            <w:sz w:val="20"/>
            <w:szCs w:val="20"/>
          </w:rPr>
          <w:t>https://m.rbi.org.in/scripts/FS_Notification.aspx?Id=12418&amp;fn=2755&amp;Mode=0#:~:text=UCBs%20shall%20have%20minimum%20net,worth%20of%20%E2%82%B95%20crore</w:t>
        </w:r>
      </w:hyperlink>
      <w:r w:rsidRPr="00587F28">
        <w:rPr>
          <w:rFonts w:ascii="Arial" w:hAnsi="Arial" w:cs="Arial"/>
          <w:bCs/>
          <w:color w:val="000000"/>
          <w:sz w:val="20"/>
          <w:szCs w:val="20"/>
        </w:rPr>
        <w:t>.</w:t>
      </w:r>
    </w:p>
    <w:p w:rsidR="00CB0A06" w:rsidRDefault="00CB0A06" w:rsidP="00587F28">
      <w:pPr>
        <w:spacing w:after="0"/>
        <w:rPr>
          <w:rFonts w:ascii="Arial" w:hAnsi="Arial" w:cs="Arial"/>
          <w:b/>
          <w:bCs/>
          <w:color w:val="000000"/>
          <w:sz w:val="20"/>
          <w:szCs w:val="20"/>
        </w:rPr>
      </w:pPr>
    </w:p>
    <w:p w:rsidR="00CB0A06" w:rsidRDefault="00CB0A06" w:rsidP="00587F28">
      <w:pPr>
        <w:spacing w:after="0"/>
        <w:rPr>
          <w:rFonts w:ascii="Arial" w:hAnsi="Arial" w:cs="Arial"/>
          <w:b/>
          <w:bCs/>
          <w:color w:val="000000"/>
          <w:sz w:val="20"/>
          <w:szCs w:val="20"/>
        </w:rPr>
      </w:pPr>
    </w:p>
    <w:p w:rsidR="00CB0A06" w:rsidRDefault="00CB0A06" w:rsidP="00587F28">
      <w:pPr>
        <w:spacing w:after="0"/>
        <w:rPr>
          <w:rFonts w:ascii="Arial" w:hAnsi="Arial" w:cs="Arial"/>
          <w:b/>
          <w:bCs/>
          <w:color w:val="000000"/>
          <w:sz w:val="20"/>
          <w:szCs w:val="20"/>
        </w:rPr>
      </w:pPr>
    </w:p>
    <w:p w:rsidR="00CB0A06" w:rsidRDefault="00CB0A06" w:rsidP="00587F28">
      <w:pPr>
        <w:spacing w:after="0"/>
        <w:rPr>
          <w:rFonts w:ascii="Arial" w:hAnsi="Arial" w:cs="Arial"/>
          <w:b/>
          <w:bCs/>
          <w:color w:val="000000"/>
          <w:sz w:val="20"/>
          <w:szCs w:val="20"/>
        </w:rPr>
      </w:pPr>
    </w:p>
    <w:p w:rsidR="00CB0A06" w:rsidRDefault="00CB0A06" w:rsidP="00587F28">
      <w:pPr>
        <w:spacing w:after="0"/>
        <w:rPr>
          <w:rFonts w:ascii="Arial" w:hAnsi="Arial" w:cs="Arial"/>
          <w:b/>
          <w:bCs/>
          <w:color w:val="000000"/>
          <w:sz w:val="20"/>
          <w:szCs w:val="20"/>
        </w:rPr>
      </w:pPr>
    </w:p>
    <w:p w:rsidR="00587F28" w:rsidRDefault="00587F28" w:rsidP="00587F28">
      <w:pPr>
        <w:spacing w:after="0"/>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587F28" w:rsidRDefault="00587F28" w:rsidP="00587F28">
      <w:pPr>
        <w:spacing w:after="0"/>
        <w:rPr>
          <w:rFonts w:ascii="Arial" w:hAnsi="Arial" w:cs="Arial"/>
          <w:b/>
          <w:bCs/>
          <w:color w:val="000000"/>
          <w:sz w:val="20"/>
          <w:szCs w:val="20"/>
        </w:rPr>
      </w:pP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RBI/2022-23/154</w:t>
      </w:r>
      <w:r>
        <w:rPr>
          <w:rFonts w:ascii="Arial" w:hAnsi="Arial" w:cs="Arial"/>
          <w:color w:val="000000"/>
          <w:sz w:val="20"/>
          <w:szCs w:val="20"/>
        </w:rPr>
        <w:br/>
        <w:t>DoR.FIN.REC.90/20.16.056/2022-23</w:t>
      </w:r>
    </w:p>
    <w:p w:rsidR="00587F28" w:rsidRDefault="00587F28" w:rsidP="00587F28">
      <w:pPr>
        <w:pStyle w:val="NormalWeb"/>
        <w:jc w:val="right"/>
        <w:rPr>
          <w:rFonts w:ascii="Arial" w:hAnsi="Arial" w:cs="Arial"/>
          <w:color w:val="000000"/>
          <w:sz w:val="20"/>
          <w:szCs w:val="20"/>
        </w:rPr>
      </w:pPr>
      <w:r>
        <w:rPr>
          <w:rFonts w:ascii="Arial" w:hAnsi="Arial" w:cs="Arial"/>
          <w:color w:val="000000"/>
          <w:sz w:val="20"/>
          <w:szCs w:val="20"/>
        </w:rPr>
        <w:t>December 13, 2022</w:t>
      </w:r>
    </w:p>
    <w:p w:rsidR="00587F28" w:rsidRDefault="00587F28" w:rsidP="00587F28">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Banks/District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Credit Information Companies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Madam/Dear Sir,</w:t>
      </w:r>
    </w:p>
    <w:p w:rsidR="00587F28" w:rsidRDefault="00587F28" w:rsidP="00587F28">
      <w:pPr>
        <w:pStyle w:val="head"/>
        <w:jc w:val="both"/>
        <w:rPr>
          <w:rFonts w:ascii="Arial" w:hAnsi="Arial" w:cs="Arial"/>
          <w:b/>
          <w:bCs/>
          <w:color w:val="000000"/>
          <w:sz w:val="20"/>
          <w:szCs w:val="20"/>
        </w:rPr>
      </w:pPr>
      <w:r>
        <w:rPr>
          <w:rFonts w:ascii="Arial" w:hAnsi="Arial" w:cs="Arial"/>
          <w:b/>
          <w:bCs/>
          <w:color w:val="000000"/>
          <w:sz w:val="20"/>
          <w:szCs w:val="20"/>
        </w:rPr>
        <w:t>Data Format for Furnishing of Credit Information to Credit Information Companies and other Regulatory Measures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4"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Uniform Credit Reporting Format for reporting credit information to the Credit Information Companies (CICs).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2. It is clarified that cases admitted with National Company Law Tribunal (NCLT)/National Company Law Appellate Tribunal (NCLAT) under the Insolvency and Bankruptcy Code, 2016 are also required to be reported under the suit-filed cases in reporting to the CICs.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3. Credit Institutions (CIs) shall ensure implementation of this circular latest by February 28, 2023.</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Yours faithfully</w:t>
      </w:r>
    </w:p>
    <w:p w:rsidR="00587F28" w:rsidRDefault="00587F28" w:rsidP="00587F28">
      <w:pPr>
        <w:pStyle w:val="NormalWeb"/>
        <w:rPr>
          <w:rFonts w:ascii="Arial" w:hAnsi="Arial" w:cs="Arial"/>
          <w:color w:val="000000"/>
          <w:sz w:val="20"/>
          <w:szCs w:val="20"/>
        </w:rPr>
      </w:pPr>
      <w:r>
        <w:rPr>
          <w:rFonts w:ascii="Arial" w:hAnsi="Arial" w:cs="Arial"/>
          <w:color w:val="000000"/>
          <w:sz w:val="20"/>
          <w:szCs w:val="20"/>
        </w:rPr>
        <w:t>(J.P. Sharma)</w:t>
      </w:r>
      <w:r>
        <w:rPr>
          <w:rFonts w:ascii="Arial" w:hAnsi="Arial" w:cs="Arial"/>
          <w:color w:val="000000"/>
          <w:sz w:val="20"/>
          <w:szCs w:val="20"/>
        </w:rPr>
        <w:br/>
        <w:t>Chief General Manager</w:t>
      </w:r>
    </w:p>
    <w:p w:rsidR="00587F28" w:rsidRDefault="00587F28" w:rsidP="00587F28">
      <w:pPr>
        <w:spacing w:after="0"/>
        <w:rPr>
          <w:rFonts w:ascii="Arial" w:hAnsi="Arial" w:cs="Arial"/>
          <w:sz w:val="20"/>
          <w:szCs w:val="20"/>
        </w:rPr>
      </w:pPr>
    </w:p>
    <w:p w:rsidR="00587F28" w:rsidRDefault="00587F28" w:rsidP="00587F28">
      <w:pPr>
        <w:spacing w:after="0"/>
        <w:rPr>
          <w:rFonts w:ascii="Arial" w:hAnsi="Arial" w:cs="Arial"/>
          <w:sz w:val="20"/>
          <w:szCs w:val="20"/>
        </w:rPr>
      </w:pPr>
    </w:p>
    <w:p w:rsidR="00587F28" w:rsidRDefault="00587F28" w:rsidP="00587F28">
      <w:pPr>
        <w:spacing w:after="0"/>
        <w:rPr>
          <w:rFonts w:ascii="Arial" w:hAnsi="Arial" w:cs="Arial"/>
          <w:sz w:val="20"/>
          <w:szCs w:val="20"/>
        </w:rPr>
      </w:pPr>
    </w:p>
    <w:p w:rsidR="00587F28" w:rsidRDefault="00587F28" w:rsidP="00587F28">
      <w:pPr>
        <w:spacing w:after="0"/>
        <w:rPr>
          <w:rFonts w:ascii="Arial" w:hAnsi="Arial" w:cs="Arial"/>
          <w:sz w:val="20"/>
          <w:szCs w:val="20"/>
        </w:rPr>
      </w:pPr>
      <w:r w:rsidRPr="00435B25">
        <w:rPr>
          <w:rFonts w:ascii="Arial" w:hAnsi="Arial" w:cs="Arial"/>
          <w:sz w:val="20"/>
          <w:szCs w:val="20"/>
        </w:rPr>
        <w:t>More details can be referred to in the below link.</w:t>
      </w:r>
    </w:p>
    <w:p w:rsidR="00587F28" w:rsidRDefault="00587F28" w:rsidP="00587F28">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5" w:history="1">
        <w:r w:rsidRPr="006865D6">
          <w:rPr>
            <w:rStyle w:val="Hyperlink"/>
            <w:rFonts w:ascii="Arial" w:hAnsi="Arial" w:cs="Arial"/>
            <w:sz w:val="20"/>
            <w:szCs w:val="20"/>
          </w:rPr>
          <w:t>https://m.rbi.org.in/scripts/BS_CircularIndexDisplay.aspx?Id=12425</w:t>
        </w:r>
      </w:hyperlink>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1E0457" w:rsidRDefault="001E0457" w:rsidP="00587F28">
      <w:pPr>
        <w:spacing w:line="259" w:lineRule="auto"/>
        <w:rPr>
          <w:rFonts w:ascii="Arial" w:hAnsi="Arial" w:cs="Arial"/>
          <w:b/>
          <w:bCs/>
          <w:color w:val="000000"/>
          <w:sz w:val="20"/>
          <w:szCs w:val="20"/>
        </w:rPr>
      </w:pPr>
    </w:p>
    <w:p w:rsidR="001E0457" w:rsidRDefault="001E0457" w:rsidP="00587F28">
      <w:pPr>
        <w:spacing w:line="259" w:lineRule="auto"/>
        <w:rPr>
          <w:rFonts w:ascii="Arial" w:hAnsi="Arial" w:cs="Arial"/>
          <w:b/>
          <w:bCs/>
          <w:color w:val="000000"/>
          <w:sz w:val="20"/>
          <w:szCs w:val="20"/>
        </w:rPr>
      </w:pPr>
    </w:p>
    <w:p w:rsidR="00587F28" w:rsidRDefault="00587F28" w:rsidP="00587F28">
      <w:pPr>
        <w:spacing w:line="259" w:lineRule="auto"/>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RBI/2022-23/159</w:t>
      </w:r>
      <w:r>
        <w:rPr>
          <w:rFonts w:ascii="Arial" w:hAnsi="Arial" w:cs="Arial"/>
          <w:color w:val="000000"/>
          <w:sz w:val="20"/>
          <w:szCs w:val="20"/>
        </w:rPr>
        <w:br/>
        <w:t>DOR.CRE.REC.92/07.10.002/2022-23</w:t>
      </w:r>
    </w:p>
    <w:p w:rsidR="00587F28" w:rsidRDefault="00587F28" w:rsidP="00587F28">
      <w:pPr>
        <w:pStyle w:val="NormalWeb"/>
        <w:jc w:val="right"/>
        <w:rPr>
          <w:rFonts w:ascii="Arial" w:hAnsi="Arial" w:cs="Arial"/>
          <w:color w:val="000000"/>
          <w:sz w:val="20"/>
          <w:szCs w:val="20"/>
        </w:rPr>
      </w:pPr>
      <w:r>
        <w:rPr>
          <w:rFonts w:ascii="Arial" w:hAnsi="Arial" w:cs="Arial"/>
          <w:color w:val="000000"/>
          <w:sz w:val="20"/>
          <w:szCs w:val="20"/>
        </w:rPr>
        <w:t>December 30, 2022</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Madam / Dear Sir,</w:t>
      </w:r>
    </w:p>
    <w:p w:rsidR="00587F28" w:rsidRDefault="00587F28" w:rsidP="00587F28">
      <w:pPr>
        <w:pStyle w:val="head"/>
        <w:jc w:val="both"/>
        <w:rPr>
          <w:rFonts w:ascii="Arial" w:hAnsi="Arial" w:cs="Arial"/>
          <w:b/>
          <w:bCs/>
          <w:color w:val="000000"/>
          <w:sz w:val="20"/>
          <w:szCs w:val="20"/>
        </w:rPr>
      </w:pPr>
      <w:r>
        <w:rPr>
          <w:rFonts w:ascii="Arial" w:hAnsi="Arial" w:cs="Arial"/>
          <w:b/>
          <w:bCs/>
          <w:color w:val="000000"/>
          <w:sz w:val="20"/>
          <w:szCs w:val="20"/>
        </w:rPr>
        <w:t>Individual Housing loans – Revised limits under four-tiered regulatory framework</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Please refer to </w:t>
      </w:r>
      <w:hyperlink r:id="rId66" w:tgtFrame="_blank" w:history="1">
        <w:r>
          <w:rPr>
            <w:rStyle w:val="Hyperlink"/>
            <w:rFonts w:ascii="Arial" w:hAnsi="Arial" w:cs="Arial"/>
            <w:sz w:val="20"/>
            <w:szCs w:val="20"/>
          </w:rPr>
          <w:t>circular DOR.REG.No.84/07.01.000/2022-23 dated December 1, 2022</w:t>
        </w:r>
      </w:hyperlink>
      <w:r>
        <w:rPr>
          <w:rFonts w:ascii="Arial" w:hAnsi="Arial" w:cs="Arial"/>
          <w:color w:val="000000"/>
          <w:sz w:val="20"/>
          <w:szCs w:val="20"/>
        </w:rPr>
        <w:t>, in terms of which UCBs have been categorised into four tiers for regulatory purposes.</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2. In terms of the </w:t>
      </w:r>
      <w:hyperlink r:id="rId67" w:tgtFrame="_blank" w:history="1">
        <w:r>
          <w:rPr>
            <w:rStyle w:val="Hyperlink"/>
            <w:rFonts w:ascii="Arial" w:hAnsi="Arial" w:cs="Arial"/>
            <w:sz w:val="20"/>
            <w:szCs w:val="20"/>
          </w:rPr>
          <w:t>circular DOR.CRE.REC.42/09.22.010/2022-23 dated June 8, 2022</w:t>
        </w:r>
      </w:hyperlink>
      <w:r>
        <w:rPr>
          <w:rFonts w:ascii="Arial" w:hAnsi="Arial" w:cs="Arial"/>
          <w:color w:val="000000"/>
          <w:sz w:val="20"/>
          <w:szCs w:val="20"/>
        </w:rPr>
        <w:t xml:space="preserve">, ceilings on housing loans to individuals are prescribed as ₹60 lakh for Tier-I UCBs and ₹140 lakh for Tier-II UCBs. Consequent upon classification of UCBs into four tiers under the revised regulatory framework, it has been decided to specify the limits on housing loans sanctioned by UCBs to an individual borrower as ₹60 </w:t>
      </w:r>
      <w:proofErr w:type="gramStart"/>
      <w:r>
        <w:rPr>
          <w:rFonts w:ascii="Arial" w:hAnsi="Arial" w:cs="Arial"/>
          <w:color w:val="000000"/>
          <w:sz w:val="20"/>
          <w:szCs w:val="20"/>
        </w:rPr>
        <w:t>lakh</w:t>
      </w:r>
      <w:proofErr w:type="gramEnd"/>
      <w:r>
        <w:rPr>
          <w:rFonts w:ascii="Arial" w:hAnsi="Arial" w:cs="Arial"/>
          <w:color w:val="000000"/>
          <w:sz w:val="20"/>
          <w:szCs w:val="20"/>
        </w:rPr>
        <w:t xml:space="preserve"> for Tier-1 UCBs and ₹140 lakh for UCBs categorised in Tier-2 to 4. Other terms and conditions of the circular ibid, remain unchanged.</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3. The limits prescribed under this circular are effective from the date of this circular. However, existing housing loans sanctioned prior to the date of this circular, which may be in breach of the ceiling, will be allowed to run off till maturity.</w:t>
      </w:r>
    </w:p>
    <w:p w:rsidR="00587F28" w:rsidRDefault="00587F28" w:rsidP="00587F28">
      <w:pPr>
        <w:pStyle w:val="NormalWeb"/>
        <w:jc w:val="both"/>
        <w:rPr>
          <w:rFonts w:ascii="Arial" w:hAnsi="Arial" w:cs="Arial"/>
          <w:color w:val="000000"/>
          <w:sz w:val="20"/>
          <w:szCs w:val="20"/>
        </w:rPr>
      </w:pPr>
      <w:r>
        <w:rPr>
          <w:rFonts w:ascii="Arial" w:hAnsi="Arial" w:cs="Arial"/>
          <w:color w:val="000000"/>
          <w:sz w:val="20"/>
          <w:szCs w:val="20"/>
        </w:rPr>
        <w:t>Yours faithfully,</w:t>
      </w:r>
    </w:p>
    <w:p w:rsidR="00587F28" w:rsidRDefault="00587F28" w:rsidP="00587F28">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587F28" w:rsidRDefault="00587F28" w:rsidP="00587F28">
      <w:pPr>
        <w:spacing w:line="259" w:lineRule="auto"/>
        <w:rPr>
          <w:rFonts w:ascii="Arial" w:hAnsi="Arial" w:cs="Arial"/>
          <w:sz w:val="20"/>
          <w:szCs w:val="20"/>
        </w:rPr>
      </w:pPr>
    </w:p>
    <w:p w:rsidR="00587F28" w:rsidRDefault="00587F28" w:rsidP="00587F28">
      <w:pPr>
        <w:spacing w:line="259" w:lineRule="auto"/>
        <w:rPr>
          <w:rFonts w:ascii="Arial" w:hAnsi="Arial" w:cs="Arial"/>
          <w:sz w:val="20"/>
          <w:szCs w:val="20"/>
        </w:rPr>
      </w:pPr>
    </w:p>
    <w:p w:rsidR="00587F28" w:rsidRDefault="00587F28" w:rsidP="00587F28">
      <w:pPr>
        <w:spacing w:after="0"/>
        <w:rPr>
          <w:rFonts w:ascii="Arial" w:hAnsi="Arial" w:cs="Arial"/>
          <w:sz w:val="20"/>
          <w:szCs w:val="20"/>
        </w:rPr>
      </w:pPr>
      <w:r w:rsidRPr="00435B25">
        <w:rPr>
          <w:rFonts w:ascii="Arial" w:hAnsi="Arial" w:cs="Arial"/>
          <w:sz w:val="20"/>
          <w:szCs w:val="20"/>
        </w:rPr>
        <w:t>More details can be referred to in the below link.</w:t>
      </w:r>
    </w:p>
    <w:p w:rsidR="00587F28" w:rsidRDefault="00587F28" w:rsidP="00587F28">
      <w:pPr>
        <w:spacing w:line="259" w:lineRule="auto"/>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8" w:anchor=":~:text=010%2F2022%2D23%20dated%20June,lakh%20for%20Tier%2DII%20UCBs" w:history="1">
        <w:r w:rsidRPr="00735218">
          <w:rPr>
            <w:rStyle w:val="Hyperlink"/>
            <w:rFonts w:ascii="Arial" w:hAnsi="Arial" w:cs="Arial"/>
            <w:sz w:val="20"/>
            <w:szCs w:val="20"/>
          </w:rPr>
          <w:t>https://www.rbi.org.in/Scripts/BS_CircularIndexDisplay.aspx?Id=12432#:~:text=010%2F2022%2D23%20dated%20June,lakh%20for%20Tier%2DII%20UCBs</w:t>
        </w:r>
      </w:hyperlink>
      <w:r w:rsidRPr="00587F28">
        <w:rPr>
          <w:rFonts w:ascii="Arial" w:hAnsi="Arial" w:cs="Arial"/>
          <w:sz w:val="20"/>
          <w:szCs w:val="20"/>
        </w:rPr>
        <w:t>.</w:t>
      </w:r>
    </w:p>
    <w:p w:rsidR="00587F28" w:rsidRDefault="00587F28" w:rsidP="00587F28">
      <w:pPr>
        <w:spacing w:line="259" w:lineRule="auto"/>
        <w:rPr>
          <w:rFonts w:ascii="Arial" w:hAnsi="Arial" w:cs="Arial"/>
          <w:sz w:val="20"/>
          <w:szCs w:val="20"/>
        </w:rPr>
      </w:pPr>
    </w:p>
    <w:sectPr w:rsidR="00587F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61176D9"/>
    <w:multiLevelType w:val="multilevel"/>
    <w:tmpl w:val="653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75602B0"/>
    <w:multiLevelType w:val="multilevel"/>
    <w:tmpl w:val="A0CE7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30"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9"/>
  </w:num>
  <w:num w:numId="7">
    <w:abstractNumId w:val="23"/>
  </w:num>
  <w:num w:numId="8">
    <w:abstractNumId w:val="2"/>
  </w:num>
  <w:num w:numId="9">
    <w:abstractNumId w:val="0"/>
  </w:num>
  <w:num w:numId="10">
    <w:abstractNumId w:val="17"/>
  </w:num>
  <w:num w:numId="11">
    <w:abstractNumId w:val="15"/>
  </w:num>
  <w:num w:numId="12">
    <w:abstractNumId w:val="3"/>
  </w:num>
  <w:num w:numId="13">
    <w:abstractNumId w:val="14"/>
  </w:num>
  <w:num w:numId="14">
    <w:abstractNumId w:val="22"/>
  </w:num>
  <w:num w:numId="15">
    <w:abstractNumId w:val="32"/>
  </w:num>
  <w:num w:numId="16">
    <w:abstractNumId w:val="5"/>
  </w:num>
  <w:num w:numId="17">
    <w:abstractNumId w:val="19"/>
  </w:num>
  <w:num w:numId="18">
    <w:abstractNumId w:val="13"/>
  </w:num>
  <w:num w:numId="19">
    <w:abstractNumId w:val="12"/>
  </w:num>
  <w:num w:numId="20">
    <w:abstractNumId w:val="18"/>
  </w:num>
  <w:num w:numId="21">
    <w:abstractNumId w:val="11"/>
  </w:num>
  <w:num w:numId="22">
    <w:abstractNumId w:val="27"/>
  </w:num>
  <w:num w:numId="23">
    <w:abstractNumId w:val="9"/>
  </w:num>
  <w:num w:numId="24">
    <w:abstractNumId w:val="16"/>
  </w:num>
  <w:num w:numId="25">
    <w:abstractNumId w:val="7"/>
  </w:num>
  <w:num w:numId="26">
    <w:abstractNumId w:val="24"/>
  </w:num>
  <w:num w:numId="27">
    <w:abstractNumId w:val="6"/>
  </w:num>
  <w:num w:numId="28">
    <w:abstractNumId w:val="21"/>
  </w:num>
  <w:num w:numId="29">
    <w:abstractNumId w:val="10"/>
  </w:num>
  <w:num w:numId="30">
    <w:abstractNumId w:val="8"/>
  </w:num>
  <w:num w:numId="31">
    <w:abstractNumId w:val="28"/>
  </w:num>
  <w:num w:numId="32">
    <w:abstractNumId w:val="31"/>
  </w:num>
  <w:num w:numId="33">
    <w:abstractNumId w:val="35"/>
  </w:num>
  <w:num w:numId="34">
    <w:abstractNumId w:val="4"/>
  </w:num>
  <w:num w:numId="35">
    <w:abstractNumId w:val="3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21745"/>
    <w:rsid w:val="00047CD5"/>
    <w:rsid w:val="00066AD4"/>
    <w:rsid w:val="00083374"/>
    <w:rsid w:val="000F6CB6"/>
    <w:rsid w:val="00121B22"/>
    <w:rsid w:val="00147837"/>
    <w:rsid w:val="001513F3"/>
    <w:rsid w:val="00166E3C"/>
    <w:rsid w:val="001B0D06"/>
    <w:rsid w:val="001E0457"/>
    <w:rsid w:val="001E7AD4"/>
    <w:rsid w:val="001F219E"/>
    <w:rsid w:val="002313C4"/>
    <w:rsid w:val="00245B30"/>
    <w:rsid w:val="002A3764"/>
    <w:rsid w:val="002C55B6"/>
    <w:rsid w:val="00435B25"/>
    <w:rsid w:val="00436D36"/>
    <w:rsid w:val="0045114B"/>
    <w:rsid w:val="004D6B44"/>
    <w:rsid w:val="004E718A"/>
    <w:rsid w:val="00581BDE"/>
    <w:rsid w:val="00583041"/>
    <w:rsid w:val="00587F28"/>
    <w:rsid w:val="005A38FC"/>
    <w:rsid w:val="005D5DB2"/>
    <w:rsid w:val="00645D84"/>
    <w:rsid w:val="0068363E"/>
    <w:rsid w:val="006C5648"/>
    <w:rsid w:val="00706A14"/>
    <w:rsid w:val="00744532"/>
    <w:rsid w:val="008462A3"/>
    <w:rsid w:val="0085415B"/>
    <w:rsid w:val="00912551"/>
    <w:rsid w:val="009126BF"/>
    <w:rsid w:val="0095703D"/>
    <w:rsid w:val="009B54D0"/>
    <w:rsid w:val="009F305B"/>
    <w:rsid w:val="00A32EAB"/>
    <w:rsid w:val="00A410BB"/>
    <w:rsid w:val="00A76041"/>
    <w:rsid w:val="00B1420D"/>
    <w:rsid w:val="00B46998"/>
    <w:rsid w:val="00B54D58"/>
    <w:rsid w:val="00B71788"/>
    <w:rsid w:val="00BF2165"/>
    <w:rsid w:val="00C754F7"/>
    <w:rsid w:val="00C8671B"/>
    <w:rsid w:val="00C93B49"/>
    <w:rsid w:val="00CA0152"/>
    <w:rsid w:val="00CB0A06"/>
    <w:rsid w:val="00CE14AF"/>
    <w:rsid w:val="00CF0868"/>
    <w:rsid w:val="00CF340B"/>
    <w:rsid w:val="00CF34B8"/>
    <w:rsid w:val="00DB76CD"/>
    <w:rsid w:val="00DE227F"/>
    <w:rsid w:val="00DE6119"/>
    <w:rsid w:val="00E0459A"/>
    <w:rsid w:val="00EC5CE1"/>
    <w:rsid w:val="00EC7DEE"/>
    <w:rsid w:val="00FA763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BCB2"/>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074">
      <w:bodyDiv w:val="1"/>
      <w:marLeft w:val="0"/>
      <w:marRight w:val="0"/>
      <w:marTop w:val="0"/>
      <w:marBottom w:val="0"/>
      <w:divBdr>
        <w:top w:val="none" w:sz="0" w:space="0" w:color="auto"/>
        <w:left w:val="none" w:sz="0" w:space="0" w:color="auto"/>
        <w:bottom w:val="none" w:sz="0" w:space="0" w:color="auto"/>
        <w:right w:val="none" w:sz="0" w:space="0" w:color="auto"/>
      </w:divBdr>
    </w:div>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57629816">
      <w:bodyDiv w:val="1"/>
      <w:marLeft w:val="0"/>
      <w:marRight w:val="0"/>
      <w:marTop w:val="0"/>
      <w:marBottom w:val="0"/>
      <w:divBdr>
        <w:top w:val="none" w:sz="0" w:space="0" w:color="auto"/>
        <w:left w:val="none" w:sz="0" w:space="0" w:color="auto"/>
        <w:bottom w:val="none" w:sz="0" w:space="0" w:color="auto"/>
        <w:right w:val="none" w:sz="0" w:space="0" w:color="auto"/>
      </w:divBdr>
    </w:div>
    <w:div w:id="71976832">
      <w:bodyDiv w:val="1"/>
      <w:marLeft w:val="0"/>
      <w:marRight w:val="0"/>
      <w:marTop w:val="0"/>
      <w:marBottom w:val="0"/>
      <w:divBdr>
        <w:top w:val="none" w:sz="0" w:space="0" w:color="auto"/>
        <w:left w:val="none" w:sz="0" w:space="0" w:color="auto"/>
        <w:bottom w:val="none" w:sz="0" w:space="0" w:color="auto"/>
        <w:right w:val="none" w:sz="0" w:space="0" w:color="auto"/>
      </w:divBdr>
    </w:div>
    <w:div w:id="87308565">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14633067">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59143584">
      <w:bodyDiv w:val="1"/>
      <w:marLeft w:val="0"/>
      <w:marRight w:val="0"/>
      <w:marTop w:val="0"/>
      <w:marBottom w:val="0"/>
      <w:divBdr>
        <w:top w:val="none" w:sz="0" w:space="0" w:color="auto"/>
        <w:left w:val="none" w:sz="0" w:space="0" w:color="auto"/>
        <w:bottom w:val="none" w:sz="0" w:space="0" w:color="auto"/>
        <w:right w:val="none" w:sz="0" w:space="0" w:color="auto"/>
      </w:divBdr>
    </w:div>
    <w:div w:id="279067302">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8683032">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428043004">
      <w:bodyDiv w:val="1"/>
      <w:marLeft w:val="0"/>
      <w:marRight w:val="0"/>
      <w:marTop w:val="0"/>
      <w:marBottom w:val="0"/>
      <w:divBdr>
        <w:top w:val="none" w:sz="0" w:space="0" w:color="auto"/>
        <w:left w:val="none" w:sz="0" w:space="0" w:color="auto"/>
        <w:bottom w:val="none" w:sz="0" w:space="0" w:color="auto"/>
        <w:right w:val="none" w:sz="0" w:space="0" w:color="auto"/>
      </w:divBdr>
    </w:div>
    <w:div w:id="490370056">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598370349">
      <w:bodyDiv w:val="1"/>
      <w:marLeft w:val="0"/>
      <w:marRight w:val="0"/>
      <w:marTop w:val="0"/>
      <w:marBottom w:val="0"/>
      <w:divBdr>
        <w:top w:val="none" w:sz="0" w:space="0" w:color="auto"/>
        <w:left w:val="none" w:sz="0" w:space="0" w:color="auto"/>
        <w:bottom w:val="none" w:sz="0" w:space="0" w:color="auto"/>
        <w:right w:val="none" w:sz="0" w:space="0" w:color="auto"/>
      </w:divBdr>
    </w:div>
    <w:div w:id="631249643">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52173338">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698972009">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48581791">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76700540">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0526303">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012874379">
      <w:bodyDiv w:val="1"/>
      <w:marLeft w:val="0"/>
      <w:marRight w:val="0"/>
      <w:marTop w:val="0"/>
      <w:marBottom w:val="0"/>
      <w:divBdr>
        <w:top w:val="none" w:sz="0" w:space="0" w:color="auto"/>
        <w:left w:val="none" w:sz="0" w:space="0" w:color="auto"/>
        <w:bottom w:val="none" w:sz="0" w:space="0" w:color="auto"/>
        <w:right w:val="none" w:sz="0" w:space="0" w:color="auto"/>
      </w:divBdr>
    </w:div>
    <w:div w:id="1081412511">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89047936">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5133630">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14880313">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91619129">
      <w:bodyDiv w:val="1"/>
      <w:marLeft w:val="0"/>
      <w:marRight w:val="0"/>
      <w:marTop w:val="0"/>
      <w:marBottom w:val="0"/>
      <w:divBdr>
        <w:top w:val="none" w:sz="0" w:space="0" w:color="auto"/>
        <w:left w:val="none" w:sz="0" w:space="0" w:color="auto"/>
        <w:bottom w:val="none" w:sz="0" w:space="0" w:color="auto"/>
        <w:right w:val="none" w:sz="0" w:space="0" w:color="auto"/>
      </w:divBdr>
    </w:div>
    <w:div w:id="1601377756">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08412868">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046594">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6823415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1924485430">
      <w:bodyDiv w:val="1"/>
      <w:marLeft w:val="0"/>
      <w:marRight w:val="0"/>
      <w:marTop w:val="0"/>
      <w:marBottom w:val="0"/>
      <w:divBdr>
        <w:top w:val="none" w:sz="0" w:space="0" w:color="auto"/>
        <w:left w:val="none" w:sz="0" w:space="0" w:color="auto"/>
        <w:bottom w:val="none" w:sz="0" w:space="0" w:color="auto"/>
        <w:right w:val="none" w:sz="0" w:space="0" w:color="auto"/>
      </w:divBdr>
    </w:div>
    <w:div w:id="1978996999">
      <w:bodyDiv w:val="1"/>
      <w:marLeft w:val="0"/>
      <w:marRight w:val="0"/>
      <w:marTop w:val="0"/>
      <w:marBottom w:val="0"/>
      <w:divBdr>
        <w:top w:val="none" w:sz="0" w:space="0" w:color="auto"/>
        <w:left w:val="none" w:sz="0" w:space="0" w:color="auto"/>
        <w:bottom w:val="none" w:sz="0" w:space="0" w:color="auto"/>
        <w:right w:val="none" w:sz="0" w:space="0" w:color="auto"/>
      </w:divBdr>
    </w:div>
    <w:div w:id="198018482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 w:id="214337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361&amp;Mode=0" TargetMode="External"/><Relationship Id="rId18" Type="http://schemas.openxmlformats.org/officeDocument/2006/relationships/hyperlink" Target="https://m.rbi.org.in/scripts/BS_ViewMasCirculardetails.aspx?id=12367" TargetMode="External"/><Relationship Id="rId26" Type="http://schemas.openxmlformats.org/officeDocument/2006/relationships/hyperlink" Target="https://www.rbi.org.in/Scripts/NotificationUser.aspx?Id=12376&amp;Mode=0" TargetMode="External"/><Relationship Id="rId39" Type="http://schemas.openxmlformats.org/officeDocument/2006/relationships/hyperlink" Target="https://rbi.org.in/Scripts/NotificationUser.aspx?Id=12388&amp;Mode=0" TargetMode="External"/><Relationship Id="rId21" Type="http://schemas.openxmlformats.org/officeDocument/2006/relationships/hyperlink" Target="https://rbidocs.rbi.org.in/rdocs/content/pdfs/RBIOS2021_amendments05082022.pdf" TargetMode="External"/><Relationship Id="rId34" Type="http://schemas.openxmlformats.org/officeDocument/2006/relationships/hyperlink" Target="https://rbi.org.in/Scripts/BS_CircularIndexDisplay.aspx?Id=12382" TargetMode="External"/><Relationship Id="rId42" Type="http://schemas.openxmlformats.org/officeDocument/2006/relationships/hyperlink" Target="https://rbi.org.in/Scripts/NotificationUser.aspx?Id=12389&amp;Mode=0" TargetMode="External"/><Relationship Id="rId47" Type="http://schemas.openxmlformats.org/officeDocument/2006/relationships/hyperlink" Target="https://www.rbi.org.in/scripts/FS_Notification.aspx?Id=12401&amp;fn=2&amp;Mode=0" TargetMode="External"/><Relationship Id="rId50" Type="http://schemas.openxmlformats.org/officeDocument/2006/relationships/hyperlink" Target="https://www.rbi.org.in/Scripts/BS_ViewMasDirections.aspx?id=12131" TargetMode="External"/><Relationship Id="rId55" Type="http://schemas.openxmlformats.org/officeDocument/2006/relationships/hyperlink" Target="https://www.rbi.org.in/Scripts/NotificationUser.aspx?Id=12415&amp;Mode=0" TargetMode="External"/><Relationship Id="rId63" Type="http://schemas.openxmlformats.org/officeDocument/2006/relationships/hyperlink" Target="https://m.rbi.org.in/scripts/FS_Notification.aspx?Id=12418&amp;fn=2755&amp;Mode=0" TargetMode="External"/><Relationship Id="rId68" Type="http://schemas.openxmlformats.org/officeDocument/2006/relationships/hyperlink" Target="https://www.rbi.org.in/Scripts/BS_CircularIndexDisplay.aspx?Id=12432" TargetMode="External"/><Relationship Id="rId7" Type="http://schemas.openxmlformats.org/officeDocument/2006/relationships/hyperlink" Target="https://www.rbi.org.in/Scripts/NotificationUser.aspx?Id=12347&amp;Mode=0" TargetMode="External"/><Relationship Id="rId2" Type="http://schemas.openxmlformats.org/officeDocument/2006/relationships/numbering" Target="numbering.xml"/><Relationship Id="rId16" Type="http://schemas.openxmlformats.org/officeDocument/2006/relationships/hyperlink" Target="https://www.rbi.org.in/scripts/NotificationUser.aspx?Id=12365&amp;Mode=0" TargetMode="External"/><Relationship Id="rId29" Type="http://schemas.openxmlformats.org/officeDocument/2006/relationships/hyperlink" Target="https://www.rbi.org.in/Scripts/BS_ViewMasDirections.aspx?id=12256" TargetMode="External"/><Relationship Id="rId1" Type="http://schemas.openxmlformats.org/officeDocument/2006/relationships/customXml" Target="../customXml/item1.xml"/><Relationship Id="rId6" Type="http://schemas.openxmlformats.org/officeDocument/2006/relationships/hyperlink" Target="https://www.rbi.org.in/Scripts/NotificationUser.aspx?Id=5671&amp;Mode=0" TargetMode="External"/><Relationship Id="rId11" Type="http://schemas.openxmlformats.org/officeDocument/2006/relationships/hyperlink" Target="https://www.rbi.org.in/scripts/NotificationUser.aspx?Id=12360&amp;Mode=0" TargetMode="External"/><Relationship Id="rId24" Type="http://schemas.openxmlformats.org/officeDocument/2006/relationships/hyperlink" Target="https://www.rbi.org.in/Scripts/NotificationUser.aspx?Id=12048&amp;Mode=0" TargetMode="External"/><Relationship Id="rId32" Type="http://schemas.openxmlformats.org/officeDocument/2006/relationships/hyperlink" Target="https://rbi.org.in/Scripts/BS_CircularIndexDisplay.aspx?Id=12382" TargetMode="External"/><Relationship Id="rId37" Type="http://schemas.openxmlformats.org/officeDocument/2006/relationships/hyperlink" Target="https://rbi.org.in/Scripts/BS_ViewMasDirections.aspx?id=10296" TargetMode="External"/><Relationship Id="rId40" Type="http://schemas.openxmlformats.org/officeDocument/2006/relationships/hyperlink" Target="https://rbi.org.in/Scripts/NotificationUser.aspx?Id=12388&amp;Mode=0" TargetMode="External"/><Relationship Id="rId45" Type="http://schemas.openxmlformats.org/officeDocument/2006/relationships/hyperlink" Target="https://rbi.org.in/Scripts/NotificationUser.aspx?Id=12389&amp;Mode=0" TargetMode="External"/><Relationship Id="rId53" Type="http://schemas.openxmlformats.org/officeDocument/2006/relationships/hyperlink" Target="https://www.rbi.org.in/Scripts/BS_PressReleaseDisplay.aspx?prid=54059" TargetMode="External"/><Relationship Id="rId58" Type="http://schemas.openxmlformats.org/officeDocument/2006/relationships/hyperlink" Target="https://m.rbi.org.in/Scripts/BS_PressReleaseDisplay.aspx?prid=54059" TargetMode="External"/><Relationship Id="rId66" Type="http://schemas.openxmlformats.org/officeDocument/2006/relationships/hyperlink" Target="https://rbi.org.in/Scripts/NotificationUser.aspx?Id=12416&amp;Mode=0" TargetMode="External"/><Relationship Id="rId5" Type="http://schemas.openxmlformats.org/officeDocument/2006/relationships/webSettings" Target="webSettings.xml"/><Relationship Id="rId15" Type="http://schemas.openxmlformats.org/officeDocument/2006/relationships/hyperlink" Target="https://www.rbi.org.in/scripts/NotificationUser.aspx?Id=12365&amp;Mode=0" TargetMode="External"/><Relationship Id="rId23" Type="http://schemas.openxmlformats.org/officeDocument/2006/relationships/hyperlink" Target="https://www.rbi.org.in/scripts/NotificationUser.aspx?Id=12375&amp;Mode=0" TargetMode="External"/><Relationship Id="rId28" Type="http://schemas.openxmlformats.org/officeDocument/2006/relationships/hyperlink" Target="https://rbi.org.in/scripts/FS_Notification.aspx?Id=12378&amp;fn=2&amp;Mode=0" TargetMode="External"/><Relationship Id="rId36" Type="http://schemas.openxmlformats.org/officeDocument/2006/relationships/hyperlink" Target="https://rbi.org.in/Scripts/BS_ViewMasDirections.aspx?id=10394" TargetMode="External"/><Relationship Id="rId49" Type="http://schemas.openxmlformats.org/officeDocument/2006/relationships/hyperlink" Target="https://www.rbi.org.in/scripts/FS_Notification.aspx?Id=12401&amp;fn=2&amp;Mode=0" TargetMode="External"/><Relationship Id="rId57" Type="http://schemas.openxmlformats.org/officeDocument/2006/relationships/hyperlink" Target="https://m.rbi.org.in/Scripts/BS_PressReleaseDisplay.aspx?prid=52094" TargetMode="External"/><Relationship Id="rId61" Type="http://schemas.openxmlformats.org/officeDocument/2006/relationships/hyperlink" Target="https://m.rbi.org.in/Scripts/BS_PressReleaseDisplay.aspx?prid=54059" TargetMode="External"/><Relationship Id="rId10" Type="http://schemas.openxmlformats.org/officeDocument/2006/relationships/hyperlink" Target="https://www.rbi.org.in/scripts/NotificationUser.aspx?Id=12360&amp;Mode=0" TargetMode="External"/><Relationship Id="rId19" Type="http://schemas.openxmlformats.org/officeDocument/2006/relationships/hyperlink" Target="https://m.rbi.org.in/scripts/BS_ViewMasCirculardetails.aspx?id=12367" TargetMode="External"/><Relationship Id="rId31" Type="http://schemas.openxmlformats.org/officeDocument/2006/relationships/hyperlink" Target="https://www.rbi.org.in/Scripts/BS_PressReleaseDisplay.aspx?prid=54187" TargetMode="External"/><Relationship Id="rId44" Type="http://schemas.openxmlformats.org/officeDocument/2006/relationships/hyperlink" Target="https://rbi.org.in/Scripts/NotificationUser.aspx?Id=12389&amp;Mode=0" TargetMode="External"/><Relationship Id="rId52" Type="http://schemas.openxmlformats.org/officeDocument/2006/relationships/hyperlink" Target="https://rbi.org.in/Scripts/NotificationUser.aspx?Id=9526&amp;Mode=0" TargetMode="External"/><Relationship Id="rId60" Type="http://schemas.openxmlformats.org/officeDocument/2006/relationships/hyperlink" Target="https://m.rbi.org.in/scripts/FS_Notification.aspx?Id=12416&amp;fn=2755&amp;Mode=0" TargetMode="External"/><Relationship Id="rId65" Type="http://schemas.openxmlformats.org/officeDocument/2006/relationships/hyperlink" Target="https://m.rbi.org.in/scripts/BS_CircularIndexDisplay.aspx?Id=12425" TargetMode="External"/><Relationship Id="rId4" Type="http://schemas.openxmlformats.org/officeDocument/2006/relationships/settings" Target="settings.xml"/><Relationship Id="rId9" Type="http://schemas.openxmlformats.org/officeDocument/2006/relationships/hyperlink" Target="https://www.rbi.org.in/Scripts/BS_ViewMasCirculardetails.aspx?id=12062" TargetMode="External"/><Relationship Id="rId14" Type="http://schemas.openxmlformats.org/officeDocument/2006/relationships/hyperlink" Target="https://www.rbi.org.in/scripts/NotificationUser.aspx?Id=12365&amp;Mode=0" TargetMode="External"/><Relationship Id="rId22" Type="http://schemas.openxmlformats.org/officeDocument/2006/relationships/hyperlink" Target="https://www.rbi.org.in/Scripts/NotificationUser.aspx?Id=12371&amp;Mode=0" TargetMode="External"/><Relationship Id="rId27" Type="http://schemas.openxmlformats.org/officeDocument/2006/relationships/hyperlink" Target="https://rbi.org.in/scripts/FS_Notification.aspx?Id=12378&amp;fn=2&amp;Mode=0" TargetMode="External"/><Relationship Id="rId30" Type="http://schemas.openxmlformats.org/officeDocument/2006/relationships/hyperlink" Target="https://rbi.org.in/scripts/FS_Notification.aspx?Id=12378&amp;fn=2&amp;Mode=0" TargetMode="External"/><Relationship Id="rId35" Type="http://schemas.openxmlformats.org/officeDocument/2006/relationships/hyperlink" Target="https://rbi.org.in/Scripts/BS_ViewMasDirections.aspx?id=10296" TargetMode="External"/><Relationship Id="rId43" Type="http://schemas.openxmlformats.org/officeDocument/2006/relationships/hyperlink" Target="https://rbi.org.in/Scripts/NotificationUser.aspx?Id=12389&amp;Mode=0" TargetMode="External"/><Relationship Id="rId48" Type="http://schemas.openxmlformats.org/officeDocument/2006/relationships/hyperlink" Target="https://www.rbi.org.in/scripts/FS_Notification.aspx?Id=12401&amp;fn=2&amp;Mode=0" TargetMode="External"/><Relationship Id="rId56" Type="http://schemas.openxmlformats.org/officeDocument/2006/relationships/hyperlink" Target="https://www.rbi.org.in/Scripts/NotificationUser.aspx?Id=12415&amp;Mode=0" TargetMode="External"/><Relationship Id="rId64" Type="http://schemas.openxmlformats.org/officeDocument/2006/relationships/hyperlink" Target="https://m.rbi.org.in/Scripts/NotificationUser.aspx?Id=8968&amp;Mode=0" TargetMode="External"/><Relationship Id="rId69" Type="http://schemas.openxmlformats.org/officeDocument/2006/relationships/fontTable" Target="fontTable.xml"/><Relationship Id="rId8" Type="http://schemas.openxmlformats.org/officeDocument/2006/relationships/hyperlink" Target="https://www.rbi.org.in/Scripts/NotificationUser.aspx?Id=12347&amp;Mode=0" TargetMode="External"/><Relationship Id="rId51" Type="http://schemas.openxmlformats.org/officeDocument/2006/relationships/hyperlink" Target="https://www.rbi.org.in/scripts/FS_Notification.aspx?Id=12403&amp;fn=2&amp;Mode=0" TargetMode="External"/><Relationship Id="rId3" Type="http://schemas.openxmlformats.org/officeDocument/2006/relationships/styles" Target="styles.xml"/><Relationship Id="rId12" Type="http://schemas.openxmlformats.org/officeDocument/2006/relationships/hyperlink" Target="https://www.rbi.org.in/Scripts/BS_ViewMasCirculardetails.aspx?id=12288" TargetMode="External"/><Relationship Id="rId17" Type="http://schemas.openxmlformats.org/officeDocument/2006/relationships/hyperlink" Target="https://m.rbi.org.in/scripts/BS_ViewMasCirculardetails.aspx?id=12367" TargetMode="External"/><Relationship Id="rId25" Type="http://schemas.openxmlformats.org/officeDocument/2006/relationships/hyperlink" Target="https://www.rbi.org.in/Scripts/NotificationUser.aspx?Id=12262&amp;Mode=0" TargetMode="External"/><Relationship Id="rId33" Type="http://schemas.openxmlformats.org/officeDocument/2006/relationships/hyperlink" Target="https://rbi.org.in/Scripts/BS_CircularIndexDisplay.aspx?Id=12382" TargetMode="External"/><Relationship Id="rId38" Type="http://schemas.openxmlformats.org/officeDocument/2006/relationships/hyperlink" Target="https://rbi.org.in/Scripts/BS_ViewMasDirections.aspx?id=10394" TargetMode="External"/><Relationship Id="rId46" Type="http://schemas.openxmlformats.org/officeDocument/2006/relationships/hyperlink" Target="https://www.rbi.org.in/Scripts/BS_ViewMasDirections.aspx?id=12158" TargetMode="External"/><Relationship Id="rId59" Type="http://schemas.openxmlformats.org/officeDocument/2006/relationships/hyperlink" Target="https://m.rbi.org.in/scripts/FS_Notification.aspx?Id=12416&amp;fn=2755&amp;Mode=0" TargetMode="External"/><Relationship Id="rId67" Type="http://schemas.openxmlformats.org/officeDocument/2006/relationships/hyperlink" Target="https://rbi.org.in/Scripts/NotificationUser.aspx?Id=12336&amp;Mode=0" TargetMode="External"/><Relationship Id="rId20" Type="http://schemas.openxmlformats.org/officeDocument/2006/relationships/hyperlink" Target="https://www.rbi.org.in/Scripts/NotificationUser.aspx?Id=12192&amp;Mode=0" TargetMode="External"/><Relationship Id="rId41" Type="http://schemas.openxmlformats.org/officeDocument/2006/relationships/hyperlink" Target="https://rbi.org.in/Scripts/NotificationUser.aspx?Id=12389&amp;Mode=0" TargetMode="External"/><Relationship Id="rId54" Type="http://schemas.openxmlformats.org/officeDocument/2006/relationships/hyperlink" Target="https://www.rbi.org.in/Scripts/BS_PressReleaseDisplay.aspx?prid=52094" TargetMode="External"/><Relationship Id="rId62" Type="http://schemas.openxmlformats.org/officeDocument/2006/relationships/hyperlink" Target="https://m.rbi.org.in/Scripts/NotificationUser.aspx?Id=12416&amp;Mode=0"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1102B-2318-49F3-B4E1-570B9D04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6024</Words>
  <Characters>34342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59</cp:revision>
  <dcterms:created xsi:type="dcterms:W3CDTF">2023-02-27T06:47:00Z</dcterms:created>
  <dcterms:modified xsi:type="dcterms:W3CDTF">2023-02-28T07:32:00Z</dcterms:modified>
</cp:coreProperties>
</file>